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firstLine="1044" w:firstLineChars="200"/>
        <w:jc w:val="center"/>
        <w:rPr>
          <w:rFonts w:ascii="Times New Roman" w:hAnsi="Times New Roman" w:cs="Times New Roman"/>
          <w:b/>
          <w:sz w:val="52"/>
          <w:szCs w:val="52"/>
        </w:rPr>
      </w:pPr>
    </w:p>
    <w:p>
      <w:pPr>
        <w:adjustRightInd w:val="0"/>
        <w:snapToGrid w:val="0"/>
        <w:spacing w:line="600" w:lineRule="exact"/>
        <w:jc w:val="center"/>
        <w:rPr>
          <w:rFonts w:ascii="Times New Roman" w:hAnsi="Times New Roman" w:cs="Times New Roman"/>
          <w:b/>
          <w:sz w:val="52"/>
          <w:szCs w:val="52"/>
        </w:rPr>
      </w:pPr>
    </w:p>
    <w:p>
      <w:pPr>
        <w:adjustRightInd w:val="0"/>
        <w:snapToGrid w:val="0"/>
        <w:spacing w:line="600" w:lineRule="exact"/>
        <w:jc w:val="center"/>
        <w:rPr>
          <w:rFonts w:ascii="Times New Roman" w:hAnsi="Times New Roman" w:cs="Times New Roman"/>
          <w:b/>
          <w:sz w:val="52"/>
          <w:szCs w:val="52"/>
        </w:rPr>
      </w:pPr>
      <w:r>
        <w:rPr>
          <w:rFonts w:ascii="Times New Roman" w:hAnsi="Times New Roman" w:cs="Times New Roman"/>
          <w:b/>
          <w:sz w:val="52"/>
          <w:szCs w:val="52"/>
        </w:rPr>
        <w:t>巴彦淖尔市打赢蓝天保卫战三年</w:t>
      </w:r>
    </w:p>
    <w:p>
      <w:pPr>
        <w:adjustRightInd w:val="0"/>
        <w:snapToGrid w:val="0"/>
        <w:spacing w:line="600" w:lineRule="exact"/>
        <w:jc w:val="center"/>
        <w:rPr>
          <w:rFonts w:ascii="Times New Roman" w:hAnsi="Times New Roman" w:cs="Times New Roman"/>
          <w:b/>
          <w:sz w:val="52"/>
          <w:szCs w:val="52"/>
        </w:rPr>
      </w:pPr>
      <w:r>
        <w:rPr>
          <w:rFonts w:ascii="Times New Roman" w:hAnsi="Times New Roman" w:cs="Times New Roman"/>
          <w:b/>
          <w:sz w:val="52"/>
          <w:szCs w:val="52"/>
        </w:rPr>
        <w:t>行动计划实施方案</w:t>
      </w:r>
    </w:p>
    <w:p>
      <w:pPr>
        <w:adjustRightInd w:val="0"/>
        <w:snapToGrid w:val="0"/>
        <w:spacing w:line="600" w:lineRule="exact"/>
        <w:jc w:val="center"/>
        <w:rPr>
          <w:rFonts w:ascii="Times New Roman" w:hAnsi="Times New Roman" w:cs="Times New Roman"/>
          <w:b/>
          <w:sz w:val="52"/>
          <w:szCs w:val="52"/>
        </w:rPr>
      </w:pPr>
      <w:r>
        <w:rPr>
          <w:rFonts w:ascii="Times New Roman" w:hAnsi="Times New Roman" w:cs="Times New Roman"/>
          <w:b/>
          <w:sz w:val="52"/>
          <w:szCs w:val="52"/>
        </w:rPr>
        <w:t>（2018年—2020年）</w:t>
      </w:r>
    </w:p>
    <w:p>
      <w:pPr>
        <w:adjustRightInd w:val="0"/>
        <w:snapToGrid w:val="0"/>
        <w:spacing w:line="600" w:lineRule="exact"/>
        <w:jc w:val="center"/>
        <w:rPr>
          <w:rFonts w:ascii="Times New Roman" w:hAnsi="Times New Roman" w:cs="Times New Roman"/>
          <w:b/>
          <w:sz w:val="32"/>
          <w:szCs w:val="32"/>
        </w:rPr>
      </w:pPr>
    </w:p>
    <w:p>
      <w:pPr>
        <w:adjustRightInd w:val="0"/>
        <w:snapToGrid w:val="0"/>
        <w:spacing w:line="600" w:lineRule="exact"/>
        <w:ind w:firstLine="643" w:firstLineChars="200"/>
        <w:jc w:val="center"/>
        <w:rPr>
          <w:rFonts w:ascii="Times New Roman" w:hAnsi="Times New Roman" w:cs="Times New Roman"/>
          <w:b/>
          <w:sz w:val="32"/>
          <w:szCs w:val="32"/>
        </w:rPr>
      </w:pPr>
    </w:p>
    <w:p>
      <w:pPr>
        <w:adjustRightInd w:val="0"/>
        <w:snapToGrid w:val="0"/>
        <w:spacing w:line="600" w:lineRule="exact"/>
        <w:ind w:firstLine="643" w:firstLineChars="200"/>
        <w:jc w:val="center"/>
        <w:rPr>
          <w:rFonts w:ascii="Times New Roman" w:hAnsi="Times New Roman" w:cs="Times New Roman"/>
          <w:b/>
          <w:sz w:val="32"/>
          <w:szCs w:val="32"/>
        </w:rPr>
      </w:pPr>
    </w:p>
    <w:p>
      <w:pPr>
        <w:adjustRightInd w:val="0"/>
        <w:snapToGrid w:val="0"/>
        <w:spacing w:line="600" w:lineRule="exact"/>
        <w:ind w:firstLine="643" w:firstLineChars="200"/>
        <w:jc w:val="center"/>
        <w:rPr>
          <w:rFonts w:ascii="Times New Roman" w:hAnsi="Times New Roman" w:cs="Times New Roman"/>
          <w:b/>
          <w:sz w:val="32"/>
          <w:szCs w:val="32"/>
        </w:rPr>
      </w:pPr>
    </w:p>
    <w:p>
      <w:pPr>
        <w:adjustRightInd w:val="0"/>
        <w:snapToGrid w:val="0"/>
        <w:spacing w:line="600" w:lineRule="exact"/>
        <w:ind w:firstLine="643" w:firstLineChars="200"/>
        <w:jc w:val="center"/>
        <w:rPr>
          <w:rFonts w:ascii="Times New Roman" w:hAnsi="Times New Roman" w:cs="Times New Roman"/>
          <w:b/>
          <w:sz w:val="32"/>
          <w:szCs w:val="32"/>
        </w:rPr>
      </w:pPr>
    </w:p>
    <w:p>
      <w:pPr>
        <w:adjustRightInd w:val="0"/>
        <w:snapToGrid w:val="0"/>
        <w:spacing w:line="600" w:lineRule="exact"/>
        <w:ind w:firstLine="643" w:firstLineChars="200"/>
        <w:jc w:val="center"/>
        <w:rPr>
          <w:rFonts w:ascii="Times New Roman" w:hAnsi="Times New Roman" w:cs="Times New Roman"/>
          <w:b/>
          <w:sz w:val="32"/>
          <w:szCs w:val="32"/>
        </w:rPr>
      </w:pPr>
    </w:p>
    <w:p>
      <w:pPr>
        <w:adjustRightInd w:val="0"/>
        <w:snapToGrid w:val="0"/>
        <w:spacing w:line="600" w:lineRule="exact"/>
        <w:ind w:firstLine="643" w:firstLineChars="200"/>
        <w:jc w:val="center"/>
        <w:rPr>
          <w:rFonts w:ascii="Times New Roman" w:hAnsi="Times New Roman" w:cs="Times New Roman"/>
          <w:b/>
          <w:sz w:val="32"/>
          <w:szCs w:val="32"/>
        </w:rPr>
      </w:pPr>
    </w:p>
    <w:p>
      <w:pPr>
        <w:adjustRightInd w:val="0"/>
        <w:snapToGrid w:val="0"/>
        <w:spacing w:line="600" w:lineRule="exact"/>
        <w:ind w:firstLine="643" w:firstLineChars="200"/>
        <w:jc w:val="center"/>
        <w:rPr>
          <w:rFonts w:ascii="Times New Roman" w:hAnsi="Times New Roman" w:cs="Times New Roman"/>
          <w:b/>
          <w:sz w:val="32"/>
          <w:szCs w:val="32"/>
        </w:rPr>
      </w:pPr>
    </w:p>
    <w:p>
      <w:pPr>
        <w:adjustRightInd w:val="0"/>
        <w:snapToGrid w:val="0"/>
        <w:spacing w:line="600" w:lineRule="exact"/>
        <w:ind w:firstLine="643" w:firstLineChars="200"/>
        <w:jc w:val="center"/>
        <w:rPr>
          <w:rFonts w:ascii="Times New Roman" w:hAnsi="Times New Roman" w:cs="Times New Roman"/>
          <w:b/>
          <w:sz w:val="32"/>
          <w:szCs w:val="32"/>
        </w:rPr>
      </w:pPr>
    </w:p>
    <w:p>
      <w:pPr>
        <w:adjustRightInd w:val="0"/>
        <w:snapToGrid w:val="0"/>
        <w:spacing w:line="600" w:lineRule="exact"/>
        <w:ind w:firstLine="643" w:firstLineChars="200"/>
        <w:jc w:val="center"/>
        <w:rPr>
          <w:rFonts w:ascii="Times New Roman" w:hAnsi="Times New Roman" w:cs="Times New Roman"/>
          <w:b/>
          <w:sz w:val="32"/>
          <w:szCs w:val="32"/>
        </w:rPr>
      </w:pPr>
    </w:p>
    <w:p>
      <w:pPr>
        <w:adjustRightInd w:val="0"/>
        <w:snapToGrid w:val="0"/>
        <w:spacing w:line="600" w:lineRule="exact"/>
        <w:ind w:firstLine="643" w:firstLineChars="200"/>
        <w:jc w:val="center"/>
        <w:rPr>
          <w:rFonts w:ascii="Times New Roman" w:hAnsi="Times New Roman" w:cs="Times New Roman"/>
          <w:b/>
          <w:sz w:val="32"/>
          <w:szCs w:val="32"/>
        </w:rPr>
      </w:pPr>
    </w:p>
    <w:p>
      <w:pPr>
        <w:adjustRightInd w:val="0"/>
        <w:snapToGrid w:val="0"/>
        <w:spacing w:line="600" w:lineRule="exact"/>
        <w:ind w:firstLine="643" w:firstLineChars="200"/>
        <w:jc w:val="center"/>
        <w:rPr>
          <w:rFonts w:ascii="Times New Roman" w:hAnsi="Times New Roman" w:cs="Times New Roman"/>
          <w:b/>
          <w:sz w:val="32"/>
          <w:szCs w:val="32"/>
        </w:rPr>
      </w:pPr>
    </w:p>
    <w:p>
      <w:pPr>
        <w:adjustRightInd w:val="0"/>
        <w:snapToGrid w:val="0"/>
        <w:spacing w:line="600" w:lineRule="exact"/>
        <w:ind w:firstLine="643" w:firstLineChars="200"/>
        <w:jc w:val="center"/>
        <w:rPr>
          <w:rFonts w:ascii="Times New Roman" w:hAnsi="Times New Roman" w:cs="Times New Roman"/>
          <w:b/>
          <w:sz w:val="32"/>
          <w:szCs w:val="32"/>
        </w:rPr>
      </w:pPr>
    </w:p>
    <w:p>
      <w:pPr>
        <w:adjustRightInd w:val="0"/>
        <w:snapToGrid w:val="0"/>
        <w:spacing w:line="600" w:lineRule="exact"/>
        <w:ind w:firstLine="643" w:firstLineChars="200"/>
        <w:jc w:val="center"/>
        <w:rPr>
          <w:rFonts w:ascii="Times New Roman" w:hAnsi="Times New Roman" w:cs="Times New Roman"/>
          <w:b/>
          <w:sz w:val="32"/>
          <w:szCs w:val="32"/>
        </w:rPr>
      </w:pPr>
    </w:p>
    <w:p>
      <w:pPr>
        <w:adjustRightInd w:val="0"/>
        <w:snapToGrid w:val="0"/>
        <w:spacing w:line="600" w:lineRule="exact"/>
        <w:ind w:firstLine="643" w:firstLineChars="200"/>
        <w:jc w:val="center"/>
        <w:rPr>
          <w:rFonts w:ascii="Times New Roman" w:hAnsi="Times New Roman" w:cs="Times New Roman"/>
          <w:b/>
          <w:sz w:val="32"/>
          <w:szCs w:val="32"/>
        </w:rPr>
      </w:pPr>
    </w:p>
    <w:p>
      <w:pPr>
        <w:adjustRightInd w:val="0"/>
        <w:snapToGrid w:val="0"/>
        <w:spacing w:line="600" w:lineRule="exact"/>
        <w:jc w:val="center"/>
        <w:rPr>
          <w:rFonts w:ascii="Times New Roman" w:hAnsi="Times New Roman" w:cs="Times New Roman"/>
          <w:b/>
          <w:sz w:val="36"/>
          <w:szCs w:val="36"/>
        </w:rPr>
      </w:pPr>
      <w:r>
        <w:rPr>
          <w:rFonts w:ascii="Times New Roman" w:hAnsi="Times New Roman" w:cs="Times New Roman"/>
          <w:b/>
          <w:sz w:val="36"/>
          <w:szCs w:val="36"/>
        </w:rPr>
        <w:t>2018年11月</w:t>
      </w:r>
    </w:p>
    <w:p>
      <w:pPr>
        <w:adjustRightInd w:val="0"/>
        <w:snapToGrid w:val="0"/>
        <w:spacing w:line="600" w:lineRule="exact"/>
        <w:ind w:firstLine="723" w:firstLineChars="200"/>
        <w:jc w:val="center"/>
        <w:rPr>
          <w:rFonts w:ascii="Times New Roman" w:hAnsi="Times New Roman" w:cs="Times New Roman"/>
          <w:b/>
          <w:sz w:val="36"/>
          <w:szCs w:val="36"/>
        </w:rPr>
      </w:pPr>
    </w:p>
    <w:p>
      <w:pPr>
        <w:adjustRightInd w:val="0"/>
        <w:snapToGrid w:val="0"/>
        <w:spacing w:line="600" w:lineRule="exact"/>
        <w:ind w:firstLine="723" w:firstLineChars="200"/>
        <w:jc w:val="center"/>
        <w:rPr>
          <w:rFonts w:ascii="Times New Roman" w:hAnsi="Times New Roman" w:cs="Times New Roman"/>
          <w:b/>
          <w:sz w:val="36"/>
          <w:szCs w:val="36"/>
        </w:rPr>
      </w:pPr>
    </w:p>
    <w:p>
      <w:pPr>
        <w:adjustRightInd w:val="0"/>
        <w:snapToGrid w:val="0"/>
        <w:spacing w:line="600" w:lineRule="exact"/>
        <w:ind w:firstLine="643" w:firstLineChars="200"/>
        <w:rPr>
          <w:rFonts w:ascii="Times New Roman" w:hAnsi="Times New Roman" w:cs="Times New Roman"/>
          <w:b/>
          <w:sz w:val="32"/>
          <w:szCs w:val="32"/>
        </w:rPr>
        <w:sectPr>
          <w:footerReference r:id="rId3" w:type="default"/>
          <w:pgSz w:w="11906" w:h="16838"/>
          <w:pgMar w:top="1440" w:right="1800" w:bottom="1440" w:left="1800" w:header="851" w:footer="992" w:gutter="0"/>
          <w:cols w:space="720" w:num="1"/>
          <w:docGrid w:type="lines" w:linePitch="312" w:charSpace="0"/>
        </w:sectPr>
      </w:pPr>
    </w:p>
    <w:p>
      <w:pPr>
        <w:pStyle w:val="17"/>
        <w:keepNext w:val="0"/>
        <w:keepLines w:val="0"/>
        <w:widowControl w:val="0"/>
        <w:adjustRightInd w:val="0"/>
        <w:snapToGrid w:val="0"/>
        <w:spacing w:before="0" w:line="600" w:lineRule="exact"/>
        <w:ind w:firstLine="640" w:firstLineChars="200"/>
        <w:jc w:val="both"/>
        <w:rPr>
          <w:rFonts w:ascii="Times New Roman" w:hAnsi="Times New Roman" w:eastAsia="仿宋_GB2312"/>
          <w:b w:val="0"/>
          <w:color w:val="auto"/>
          <w:sz w:val="32"/>
          <w:szCs w:val="32"/>
        </w:rPr>
      </w:pPr>
      <w:r>
        <w:rPr>
          <w:rFonts w:ascii="Times New Roman" w:hAnsi="Times New Roman" w:eastAsia="仿宋_GB2312"/>
          <w:b w:val="0"/>
          <w:color w:val="auto"/>
          <w:sz w:val="32"/>
          <w:szCs w:val="32"/>
          <w:lang w:val="zh-CN"/>
        </w:rPr>
        <w:t>巴彦淖尔市位于内蒙古自治区西部，东接包头，西连阿拉善盟、乌海市，南隔黄河与鄂尔多斯市相望，北与蒙古国接壤。</w:t>
      </w:r>
      <w:r>
        <w:rPr>
          <w:rFonts w:ascii="Times New Roman" w:hAnsi="Times New Roman" w:eastAsia="仿宋_GB2312"/>
          <w:b w:val="0"/>
          <w:color w:val="auto"/>
          <w:sz w:val="32"/>
          <w:szCs w:val="32"/>
        </w:rPr>
        <w:t>近年来，空气质量主要污染物指标中PM</w:t>
      </w:r>
      <w:r>
        <w:rPr>
          <w:rFonts w:ascii="Times New Roman" w:hAnsi="Times New Roman" w:eastAsia="仿宋_GB2312"/>
          <w:b w:val="0"/>
          <w:color w:val="auto"/>
          <w:sz w:val="32"/>
          <w:szCs w:val="32"/>
          <w:vertAlign w:val="subscript"/>
        </w:rPr>
        <w:t>2.5</w:t>
      </w:r>
      <w:r>
        <w:rPr>
          <w:rFonts w:ascii="Times New Roman" w:hAnsi="Times New Roman" w:eastAsia="仿宋_GB2312"/>
          <w:b w:val="0"/>
          <w:color w:val="auto"/>
          <w:sz w:val="32"/>
          <w:szCs w:val="32"/>
        </w:rPr>
        <w:t>、PM</w:t>
      </w:r>
      <w:r>
        <w:rPr>
          <w:rFonts w:ascii="Times New Roman" w:hAnsi="Times New Roman" w:eastAsia="仿宋_GB2312"/>
          <w:b w:val="0"/>
          <w:color w:val="auto"/>
          <w:sz w:val="32"/>
          <w:szCs w:val="32"/>
          <w:vertAlign w:val="subscript"/>
        </w:rPr>
        <w:t>10</w:t>
      </w:r>
      <w:r>
        <w:rPr>
          <w:rFonts w:ascii="Times New Roman" w:hAnsi="Times New Roman" w:eastAsia="仿宋_GB2312"/>
          <w:b w:val="0"/>
          <w:color w:val="auto"/>
          <w:sz w:val="32"/>
          <w:szCs w:val="32"/>
        </w:rPr>
        <w:t>以及臭氧年均浓度存在不同程度超标，属于未达到《环境空气质量标准（GB3095-2012）》的城市。根据《中华人民共和国环境保护法》、《中华人民共和国大气污染防治法》、《内蒙古自治区生态环境保护“十三五”规划》和《关于报送大气污染防治三年攻坚计划的通知》等要求，我市作为空气质量未达标城市，在2020年力争实现空气质量6项主要污染物浓度（二氧化硫、二氧化氮、细颗粒物PM2.5、可吸入颗粒物PM10、一氧化碳、臭氧）全面达标，城市空气质量优良天数的比例达到83.8%。为促进全市环境空气质量达标及污染防控工作，持续改善我市空气质量，制订本计划。</w:t>
      </w:r>
    </w:p>
    <w:p>
      <w:pPr>
        <w:pStyle w:val="2"/>
        <w:keepNext w:val="0"/>
        <w:keepLines w:val="0"/>
        <w:adjustRightInd w:val="0"/>
        <w:snapToGrid w:val="0"/>
        <w:spacing w:before="0" w:after="0" w:line="600" w:lineRule="exact"/>
        <w:ind w:firstLine="640" w:firstLineChars="200"/>
        <w:rPr>
          <w:rFonts w:ascii="Times New Roman" w:hAnsi="Times New Roman" w:eastAsia="黑体" w:cs="Times New Roman"/>
          <w:b w:val="0"/>
          <w:sz w:val="32"/>
          <w:szCs w:val="32"/>
        </w:rPr>
      </w:pPr>
      <w:bookmarkStart w:id="0" w:name="_Toc505589479"/>
      <w:r>
        <w:rPr>
          <w:rFonts w:ascii="Times New Roman" w:hAnsi="Times New Roman" w:eastAsia="黑体" w:cs="Times New Roman"/>
          <w:b w:val="0"/>
          <w:sz w:val="32"/>
          <w:szCs w:val="32"/>
        </w:rPr>
        <w:t>一、我市环境空气质量形势</w:t>
      </w:r>
      <w:bookmarkEnd w:id="0"/>
    </w:p>
    <w:p>
      <w:pPr>
        <w:pStyle w:val="3"/>
        <w:keepNext w:val="0"/>
        <w:keepLines w:val="0"/>
        <w:adjustRightInd w:val="0"/>
        <w:snapToGrid w:val="0"/>
        <w:spacing w:before="0" w:after="0" w:line="600" w:lineRule="exact"/>
        <w:ind w:firstLine="643" w:firstLineChars="200"/>
        <w:rPr>
          <w:rFonts w:ascii="Times New Roman" w:hAnsi="Times New Roman" w:eastAsia="楷体_GB2312"/>
        </w:rPr>
      </w:pPr>
      <w:bookmarkStart w:id="1" w:name="_Toc505589480"/>
      <w:r>
        <w:rPr>
          <w:rFonts w:ascii="Times New Roman" w:hAnsi="Times New Roman" w:eastAsia="楷体_GB2312"/>
        </w:rPr>
        <w:t>（一）环境空气质量现状</w:t>
      </w:r>
      <w:bookmarkEnd w:id="1"/>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近年来，我市二氧化氮、二氧化硫和一氧化碳已稳定达标，可吸入颗粒物（PM</w:t>
      </w:r>
      <w:r>
        <w:rPr>
          <w:rFonts w:ascii="Times New Roman" w:hAnsi="Times New Roman" w:eastAsia="仿宋_GB2312" w:cs="Times New Roman"/>
          <w:sz w:val="32"/>
          <w:szCs w:val="32"/>
          <w:vertAlign w:val="subscript"/>
        </w:rPr>
        <w:t>10</w:t>
      </w:r>
      <w:r>
        <w:rPr>
          <w:rFonts w:ascii="Times New Roman" w:hAnsi="Times New Roman" w:eastAsia="仿宋_GB2312" w:cs="Times New Roman"/>
          <w:sz w:val="32"/>
          <w:szCs w:val="32"/>
        </w:rPr>
        <w:t>）及细颗粒物（PM</w:t>
      </w:r>
      <w:r>
        <w:rPr>
          <w:rFonts w:ascii="Times New Roman" w:hAnsi="Times New Roman" w:eastAsia="仿宋_GB2312" w:cs="Times New Roman"/>
          <w:sz w:val="32"/>
          <w:szCs w:val="32"/>
          <w:vertAlign w:val="subscript"/>
        </w:rPr>
        <w:t>2.5</w:t>
      </w:r>
      <w:r>
        <w:rPr>
          <w:rFonts w:ascii="Times New Roman" w:hAnsi="Times New Roman" w:eastAsia="仿宋_GB2312" w:cs="Times New Roman"/>
          <w:sz w:val="32"/>
          <w:szCs w:val="32"/>
        </w:rPr>
        <w:t>）逐步下降，但仍高于国家标准；臭氧（O</w:t>
      </w:r>
      <w:r>
        <w:rPr>
          <w:rFonts w:ascii="Times New Roman" w:hAnsi="Times New Roman" w:eastAsia="仿宋_GB2312" w:cs="Times New Roman"/>
          <w:sz w:val="32"/>
          <w:szCs w:val="32"/>
          <w:vertAlign w:val="subscript"/>
        </w:rPr>
        <w:t>3</w:t>
      </w:r>
      <w:r>
        <w:rPr>
          <w:rFonts w:ascii="Times New Roman" w:hAnsi="Times New Roman" w:eastAsia="仿宋_GB2312" w:cs="Times New Roman"/>
          <w:sz w:val="32"/>
          <w:szCs w:val="32"/>
        </w:rPr>
        <w:t>）日最大8小时滑动平均值浓度有上升趋势。2017年，我市PM</w:t>
      </w:r>
      <w:r>
        <w:rPr>
          <w:rFonts w:ascii="Times New Roman" w:hAnsi="Times New Roman" w:eastAsia="仿宋_GB2312" w:cs="Times New Roman"/>
          <w:sz w:val="32"/>
          <w:szCs w:val="32"/>
          <w:vertAlign w:val="subscript"/>
        </w:rPr>
        <w:t>10</w:t>
      </w:r>
      <w:r>
        <w:rPr>
          <w:rFonts w:ascii="Times New Roman" w:hAnsi="Times New Roman" w:eastAsia="仿宋_GB2312" w:cs="Times New Roman"/>
          <w:sz w:val="32"/>
          <w:szCs w:val="32"/>
        </w:rPr>
        <w:t>及PM</w:t>
      </w:r>
      <w:r>
        <w:rPr>
          <w:rFonts w:ascii="Times New Roman" w:hAnsi="Times New Roman" w:eastAsia="仿宋_GB2312" w:cs="Times New Roman"/>
          <w:sz w:val="32"/>
          <w:szCs w:val="32"/>
          <w:vertAlign w:val="subscript"/>
        </w:rPr>
        <w:t>2.5</w:t>
      </w:r>
      <w:r>
        <w:rPr>
          <w:rFonts w:ascii="Times New Roman" w:hAnsi="Times New Roman" w:eastAsia="仿宋_GB2312" w:cs="Times New Roman"/>
          <w:sz w:val="32"/>
          <w:szCs w:val="32"/>
        </w:rPr>
        <w:t>超标天数共42天，臭氧8小时超标天数15天。近3年，我市首要污染物为PM</w:t>
      </w:r>
      <w:r>
        <w:rPr>
          <w:rFonts w:ascii="Times New Roman" w:hAnsi="Times New Roman" w:eastAsia="仿宋_GB2312" w:cs="Times New Roman"/>
          <w:sz w:val="32"/>
          <w:szCs w:val="32"/>
          <w:vertAlign w:val="subscript"/>
        </w:rPr>
        <w:t>2.5</w:t>
      </w:r>
      <w:r>
        <w:rPr>
          <w:rFonts w:ascii="Times New Roman" w:hAnsi="Times New Roman" w:eastAsia="仿宋_GB2312" w:cs="Times New Roman"/>
          <w:sz w:val="32"/>
          <w:szCs w:val="32"/>
        </w:rPr>
        <w:t>、PM</w:t>
      </w:r>
      <w:r>
        <w:rPr>
          <w:rFonts w:ascii="Times New Roman" w:hAnsi="Times New Roman" w:eastAsia="仿宋_GB2312" w:cs="Times New Roman"/>
          <w:sz w:val="32"/>
          <w:szCs w:val="32"/>
          <w:vertAlign w:val="subscript"/>
        </w:rPr>
        <w:t>10</w:t>
      </w:r>
      <w:r>
        <w:rPr>
          <w:rFonts w:ascii="Times New Roman" w:hAnsi="Times New Roman" w:eastAsia="仿宋_GB2312" w:cs="Times New Roman"/>
          <w:sz w:val="32"/>
          <w:szCs w:val="32"/>
        </w:rPr>
        <w:t>和臭氧，其中以PM</w:t>
      </w:r>
      <w:r>
        <w:rPr>
          <w:rFonts w:ascii="Times New Roman" w:hAnsi="Times New Roman" w:eastAsia="仿宋_GB2312" w:cs="Times New Roman"/>
          <w:sz w:val="32"/>
          <w:szCs w:val="32"/>
          <w:vertAlign w:val="subscript"/>
        </w:rPr>
        <w:t>2.5</w:t>
      </w:r>
      <w:r>
        <w:rPr>
          <w:rFonts w:ascii="Times New Roman" w:hAnsi="Times New Roman" w:eastAsia="仿宋_GB2312" w:cs="Times New Roman"/>
          <w:sz w:val="32"/>
          <w:szCs w:val="32"/>
        </w:rPr>
        <w:t>为首要污染物的天数逐年下降，臭氧污染天数呈上升趋势。</w:t>
      </w:r>
    </w:p>
    <w:p>
      <w:pPr>
        <w:pStyle w:val="3"/>
        <w:keepNext w:val="0"/>
        <w:keepLines w:val="0"/>
        <w:adjustRightInd w:val="0"/>
        <w:snapToGrid w:val="0"/>
        <w:spacing w:before="0" w:after="0" w:line="600" w:lineRule="exact"/>
        <w:ind w:firstLine="643" w:firstLineChars="200"/>
        <w:rPr>
          <w:rFonts w:ascii="Times New Roman" w:hAnsi="Times New Roman" w:eastAsia="楷体_GB2312"/>
        </w:rPr>
      </w:pPr>
      <w:r>
        <w:rPr>
          <w:rFonts w:ascii="Times New Roman" w:hAnsi="Times New Roman" w:eastAsia="楷体_GB2312"/>
        </w:rPr>
        <w:t>（二）面临的主要大气环境问题</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市属典型北方城市，全年光照充足，热量丰富，降水量小，蒸发量大，风大沙多，无霜期短，温差大，四季分明。从全年空气质量监测结果可以看出，全市空气质量总体污染程度相对较重的为一季度和四季度。主要原因：一是第一、第四季度处于采暖期，煤烟污染较重。二是春、冬季我市干旱少雨，风沙较大，并有沙尘暴天气影响，扬尘污染较为突出。</w:t>
      </w:r>
    </w:p>
    <w:p>
      <w:pPr>
        <w:pStyle w:val="2"/>
        <w:keepNext w:val="0"/>
        <w:keepLines w:val="0"/>
        <w:adjustRightInd w:val="0"/>
        <w:snapToGrid w:val="0"/>
        <w:spacing w:before="0" w:after="0" w:line="600" w:lineRule="exact"/>
        <w:ind w:firstLine="640" w:firstLineChars="200"/>
        <w:rPr>
          <w:rFonts w:ascii="Times New Roman" w:hAnsi="Times New Roman" w:eastAsia="黑体" w:cs="Times New Roman"/>
          <w:b w:val="0"/>
          <w:sz w:val="32"/>
          <w:szCs w:val="32"/>
        </w:rPr>
      </w:pPr>
      <w:bookmarkStart w:id="2" w:name="_Toc505589482"/>
      <w:r>
        <w:rPr>
          <w:rFonts w:ascii="Times New Roman" w:hAnsi="Times New Roman" w:eastAsia="黑体" w:cs="Times New Roman"/>
          <w:b w:val="0"/>
          <w:sz w:val="32"/>
          <w:szCs w:val="32"/>
        </w:rPr>
        <w:t>二、 规划总则</w:t>
      </w:r>
      <w:bookmarkEnd w:id="2"/>
    </w:p>
    <w:p>
      <w:pPr>
        <w:pStyle w:val="3"/>
        <w:keepNext w:val="0"/>
        <w:keepLines w:val="0"/>
        <w:adjustRightInd w:val="0"/>
        <w:snapToGrid w:val="0"/>
        <w:spacing w:before="0" w:after="0" w:line="600" w:lineRule="exact"/>
        <w:ind w:firstLine="602" w:firstLineChars="200"/>
        <w:rPr>
          <w:rFonts w:ascii="Times New Roman" w:hAnsi="Times New Roman" w:eastAsia="楷体_GB2312"/>
        </w:rPr>
      </w:pPr>
      <w:bookmarkStart w:id="3" w:name="_Toc505589483"/>
      <w:r>
        <w:rPr>
          <w:rFonts w:ascii="Times New Roman" w:hAnsi="Times New Roman" w:eastAsia="楷体_GB2312"/>
          <w:sz w:val="30"/>
          <w:szCs w:val="30"/>
        </w:rPr>
        <w:t>（一）指导思想</w:t>
      </w:r>
      <w:bookmarkEnd w:id="3"/>
    </w:p>
    <w:p>
      <w:pPr>
        <w:adjustRightInd w:val="0"/>
        <w:snapToGrid w:val="0"/>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紧紧围绕贯彻落实习近平生态文明思想和“五位一体”总体布局，牢固树立创新、协调、绿色、开放、共享的发展理念。以环境空气质量达标为核心，着力解决以PM</w:t>
      </w:r>
      <w:r>
        <w:rPr>
          <w:rFonts w:ascii="Times New Roman" w:hAnsi="Times New Roman" w:eastAsia="仿宋_GB2312" w:cs="Times New Roman"/>
          <w:sz w:val="32"/>
          <w:szCs w:val="32"/>
          <w:vertAlign w:val="subscript"/>
        </w:rPr>
        <w:t>2.5</w:t>
      </w:r>
      <w:r>
        <w:rPr>
          <w:rFonts w:ascii="Times New Roman" w:hAnsi="Times New Roman" w:eastAsia="仿宋_GB2312" w:cs="Times New Roman"/>
          <w:sz w:val="32"/>
          <w:szCs w:val="32"/>
        </w:rPr>
        <w:t>、PM</w:t>
      </w:r>
      <w:r>
        <w:rPr>
          <w:rFonts w:ascii="Times New Roman" w:hAnsi="Times New Roman" w:eastAsia="仿宋_GB2312" w:cs="Times New Roman"/>
          <w:sz w:val="32"/>
          <w:szCs w:val="32"/>
          <w:vertAlign w:val="subscript"/>
        </w:rPr>
        <w:t>10</w:t>
      </w:r>
      <w:r>
        <w:rPr>
          <w:rFonts w:ascii="Times New Roman" w:hAnsi="Times New Roman" w:eastAsia="仿宋_GB2312" w:cs="Times New Roman"/>
          <w:sz w:val="32"/>
          <w:szCs w:val="32"/>
        </w:rPr>
        <w:t xml:space="preserve">和臭氧为重点的大气污染问题，推动环境空气质量持续改善，促进经济、社会和环境的协调发展，为改善人居环境，提供坚实的环境保障。 </w:t>
      </w:r>
    </w:p>
    <w:p>
      <w:pPr>
        <w:pStyle w:val="3"/>
        <w:keepNext w:val="0"/>
        <w:keepLines w:val="0"/>
        <w:adjustRightInd w:val="0"/>
        <w:snapToGrid w:val="0"/>
        <w:spacing w:before="0" w:after="0" w:line="600" w:lineRule="exact"/>
        <w:ind w:firstLine="602" w:firstLineChars="200"/>
        <w:rPr>
          <w:rFonts w:ascii="Times New Roman" w:hAnsi="Times New Roman" w:eastAsia="楷体_GB2312"/>
          <w:sz w:val="30"/>
          <w:szCs w:val="30"/>
        </w:rPr>
      </w:pPr>
      <w:bookmarkStart w:id="4" w:name="_Toc505589484"/>
      <w:r>
        <w:rPr>
          <w:rFonts w:ascii="Times New Roman" w:hAnsi="Times New Roman" w:eastAsia="楷体_GB2312"/>
          <w:sz w:val="30"/>
          <w:szCs w:val="30"/>
        </w:rPr>
        <w:t>（二）基本原则</w:t>
      </w:r>
      <w:bookmarkEnd w:id="4"/>
    </w:p>
    <w:p>
      <w:pPr>
        <w:adjustRightInd w:val="0"/>
        <w:snapToGrid w:val="0"/>
        <w:spacing w:line="600" w:lineRule="exact"/>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1.统筹协调、相互衔接。</w:t>
      </w:r>
      <w:r>
        <w:rPr>
          <w:rFonts w:ascii="Times New Roman" w:hAnsi="Times New Roman" w:eastAsia="仿宋_GB2312" w:cs="Times New Roman"/>
          <w:sz w:val="32"/>
          <w:szCs w:val="32"/>
        </w:rPr>
        <w:t>空气质量达标与国家宏观经济政策、节能减排重大战略和产业发展规划等有机衔接，与我市环境保护总体规划、“十三五”环境保护规划等相协调，任务措施是城市经济社会发展规划的重要内容。将改善环境空气质量作为优化经济发展和能源结构调整的首要前提，实现经济发展和环境保护双赢。</w:t>
      </w:r>
    </w:p>
    <w:p>
      <w:pPr>
        <w:adjustRightInd w:val="0"/>
        <w:snapToGrid w:val="0"/>
        <w:spacing w:line="600" w:lineRule="exact"/>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2.综合评估、科学施治。</w:t>
      </w:r>
      <w:r>
        <w:rPr>
          <w:rFonts w:ascii="Times New Roman" w:hAnsi="Times New Roman" w:eastAsia="仿宋_GB2312" w:cs="Times New Roman"/>
          <w:sz w:val="32"/>
          <w:szCs w:val="32"/>
        </w:rPr>
        <w:t>重点针对影响我市空气质量达标的PM</w:t>
      </w:r>
      <w:r>
        <w:rPr>
          <w:rFonts w:ascii="Times New Roman" w:hAnsi="Times New Roman" w:eastAsia="仿宋_GB2312" w:cs="Times New Roman"/>
          <w:sz w:val="32"/>
          <w:szCs w:val="32"/>
          <w:vertAlign w:val="subscript"/>
        </w:rPr>
        <w:t>10</w:t>
      </w:r>
      <w:r>
        <w:rPr>
          <w:rFonts w:ascii="Times New Roman" w:hAnsi="Times New Roman" w:eastAsia="仿宋_GB2312" w:cs="Times New Roman"/>
          <w:sz w:val="32"/>
          <w:szCs w:val="32"/>
        </w:rPr>
        <w:t>、PM</w:t>
      </w:r>
      <w:r>
        <w:rPr>
          <w:rFonts w:ascii="Times New Roman" w:hAnsi="Times New Roman" w:eastAsia="仿宋_GB2312" w:cs="Times New Roman"/>
          <w:sz w:val="32"/>
          <w:szCs w:val="32"/>
          <w:vertAlign w:val="subscript"/>
        </w:rPr>
        <w:t>2.5</w:t>
      </w:r>
      <w:r>
        <w:rPr>
          <w:rFonts w:ascii="Times New Roman" w:hAnsi="Times New Roman" w:eastAsia="仿宋_GB2312" w:cs="Times New Roman"/>
          <w:sz w:val="32"/>
          <w:szCs w:val="32"/>
        </w:rPr>
        <w:t>和臭氧，有针对性地制定达标措施，结合政策要求、减排潜力估算等，提出控制目标，做到精准施策、靶向治理。</w:t>
      </w:r>
    </w:p>
    <w:p>
      <w:pPr>
        <w:adjustRightInd w:val="0"/>
        <w:snapToGrid w:val="0"/>
        <w:spacing w:line="600" w:lineRule="exact"/>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3.项目落地、责任落实。</w:t>
      </w:r>
      <w:r>
        <w:rPr>
          <w:rFonts w:ascii="Times New Roman" w:hAnsi="Times New Roman" w:eastAsia="仿宋_GB2312" w:cs="Times New Roman"/>
          <w:sz w:val="32"/>
          <w:szCs w:val="32"/>
        </w:rPr>
        <w:t>围绕空气质量改善目标，推进多污染物协同减排，量化各项污染物的防治要求，明确工作任务，分解落实到相关部门和单位。</w:t>
      </w:r>
    </w:p>
    <w:p>
      <w:pPr>
        <w:pStyle w:val="3"/>
        <w:keepNext w:val="0"/>
        <w:keepLines w:val="0"/>
        <w:adjustRightInd w:val="0"/>
        <w:snapToGrid w:val="0"/>
        <w:spacing w:before="0" w:after="0" w:line="600" w:lineRule="exact"/>
        <w:ind w:firstLine="643" w:firstLineChars="200"/>
        <w:rPr>
          <w:rFonts w:ascii="Times New Roman" w:hAnsi="Times New Roman" w:eastAsia="楷体_GB2312"/>
        </w:rPr>
      </w:pPr>
      <w:bookmarkStart w:id="5" w:name="_Toc505589485"/>
      <w:r>
        <w:rPr>
          <w:rFonts w:ascii="Times New Roman" w:hAnsi="Times New Roman" w:eastAsia="楷体_GB2312"/>
        </w:rPr>
        <w:t>（三）</w:t>
      </w:r>
      <w:bookmarkEnd w:id="5"/>
      <w:bookmarkStart w:id="6" w:name="_Toc505589486"/>
      <w:r>
        <w:rPr>
          <w:rFonts w:ascii="Times New Roman" w:hAnsi="Times New Roman" w:eastAsia="楷体_GB2312"/>
        </w:rPr>
        <w:t>规划目标</w:t>
      </w:r>
      <w:bookmarkEnd w:id="6"/>
    </w:p>
    <w:p>
      <w:pPr>
        <w:adjustRightInd w:val="0"/>
        <w:snapToGrid w:val="0"/>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按照自治区生态环境厅下达的“十三五”及2018年各盟市环保约束性指标计划要求，到2020年，巴彦淖尔市实现优良天数比率达到83.8%，PM2.5年均浓度较2015年下降20%，达到36.8ug/m3等考核要求，二氧化硫、氮氧化物排放总量较2015年分别减少15%、11%，确保全面实现“十三五”环保约束性目标。</w:t>
      </w:r>
    </w:p>
    <w:p>
      <w:pPr>
        <w:adjustRightInd w:val="0"/>
        <w:snapToGrid w:val="0"/>
        <w:spacing w:line="400" w:lineRule="exact"/>
        <w:jc w:val="center"/>
        <w:rPr>
          <w:rFonts w:ascii="Times New Roman" w:hAnsi="Times New Roman" w:cs="Times New Roman"/>
          <w:b/>
          <w:sz w:val="24"/>
          <w:szCs w:val="24"/>
        </w:rPr>
      </w:pPr>
      <w:r>
        <w:rPr>
          <w:rFonts w:ascii="Times New Roman" w:hAnsi="Times New Roman" w:cs="Times New Roman"/>
          <w:b/>
          <w:sz w:val="24"/>
          <w:szCs w:val="24"/>
        </w:rPr>
        <w:t>2018—2020 年巴彦淖尔市大气环境保护主要指标</w:t>
      </w:r>
    </w:p>
    <w:tbl>
      <w:tblPr>
        <w:tblStyle w:val="15"/>
        <w:tblW w:w="8523" w:type="dxa"/>
        <w:jc w:val="center"/>
        <w:tblInd w:w="19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17"/>
        <w:gridCol w:w="895"/>
        <w:gridCol w:w="2983"/>
        <w:gridCol w:w="1014"/>
        <w:gridCol w:w="1104"/>
        <w:gridCol w:w="1056"/>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295" w:type="dxa"/>
            <w:gridSpan w:val="3"/>
          </w:tcPr>
          <w:p>
            <w:pPr>
              <w:adjustRightInd w:val="0"/>
              <w:snapToGrid w:val="0"/>
              <w:spacing w:line="4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指标</w:t>
            </w:r>
          </w:p>
        </w:tc>
        <w:tc>
          <w:tcPr>
            <w:tcW w:w="1014" w:type="dxa"/>
          </w:tcPr>
          <w:p>
            <w:pPr>
              <w:adjustRightInd w:val="0"/>
              <w:snapToGrid w:val="0"/>
              <w:spacing w:line="400" w:lineRule="exact"/>
              <w:rPr>
                <w:rFonts w:ascii="Times New Roman" w:hAnsi="Times New Roman" w:eastAsia="仿宋_GB2312" w:cs="Times New Roman"/>
                <w:b/>
                <w:sz w:val="24"/>
                <w:szCs w:val="24"/>
              </w:rPr>
            </w:pPr>
            <w:r>
              <w:rPr>
                <w:rFonts w:ascii="Times New Roman" w:hAnsi="Times New Roman" w:eastAsia="仿宋_GB2312" w:cs="Times New Roman"/>
                <w:b/>
                <w:sz w:val="24"/>
                <w:szCs w:val="24"/>
              </w:rPr>
              <w:t>2018年</w:t>
            </w:r>
          </w:p>
        </w:tc>
        <w:tc>
          <w:tcPr>
            <w:tcW w:w="1104" w:type="dxa"/>
          </w:tcPr>
          <w:p>
            <w:pPr>
              <w:adjustRightInd w:val="0"/>
              <w:snapToGrid w:val="0"/>
              <w:spacing w:line="400" w:lineRule="exact"/>
              <w:rPr>
                <w:rFonts w:ascii="Times New Roman" w:hAnsi="Times New Roman" w:eastAsia="仿宋_GB2312" w:cs="Times New Roman"/>
                <w:b/>
                <w:sz w:val="24"/>
                <w:szCs w:val="24"/>
              </w:rPr>
            </w:pPr>
            <w:r>
              <w:rPr>
                <w:rFonts w:ascii="Times New Roman" w:hAnsi="Times New Roman" w:eastAsia="仿宋_GB2312" w:cs="Times New Roman"/>
                <w:b/>
                <w:sz w:val="24"/>
                <w:szCs w:val="24"/>
              </w:rPr>
              <w:t>2019年</w:t>
            </w:r>
          </w:p>
        </w:tc>
        <w:tc>
          <w:tcPr>
            <w:tcW w:w="1056" w:type="dxa"/>
          </w:tcPr>
          <w:p>
            <w:pPr>
              <w:adjustRightInd w:val="0"/>
              <w:snapToGrid w:val="0"/>
              <w:spacing w:line="4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2020年</w:t>
            </w:r>
          </w:p>
        </w:tc>
        <w:tc>
          <w:tcPr>
            <w:tcW w:w="1054" w:type="dxa"/>
          </w:tcPr>
          <w:p>
            <w:pPr>
              <w:adjustRightInd w:val="0"/>
              <w:snapToGrid w:val="0"/>
              <w:spacing w:line="4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7" w:type="dxa"/>
            <w:vAlign w:val="center"/>
          </w:tcPr>
          <w:p>
            <w:pPr>
              <w:adjustRightInd w:val="0"/>
              <w:snapToGrid w:val="0"/>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95" w:type="dxa"/>
            <w:vMerge w:val="restart"/>
            <w:vAlign w:val="center"/>
          </w:tcPr>
          <w:p>
            <w:pPr>
              <w:adjustRightInd w:val="0"/>
              <w:snapToGrid w:val="0"/>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环境空气质量</w:t>
            </w:r>
          </w:p>
        </w:tc>
        <w:tc>
          <w:tcPr>
            <w:tcW w:w="2983" w:type="dxa"/>
            <w:vAlign w:val="center"/>
          </w:tcPr>
          <w:p>
            <w:pPr>
              <w:adjustRightInd w:val="0"/>
              <w:snapToGrid w:val="0"/>
              <w:spacing w:line="4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城市空气质量达到二级标准以上天数比例（%）</w:t>
            </w:r>
          </w:p>
        </w:tc>
        <w:tc>
          <w:tcPr>
            <w:tcW w:w="1014" w:type="dxa"/>
            <w:vAlign w:val="center"/>
          </w:tcPr>
          <w:p>
            <w:pPr>
              <w:adjustRightInd w:val="0"/>
              <w:snapToGrid w:val="0"/>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83.8%</w:t>
            </w:r>
          </w:p>
        </w:tc>
        <w:tc>
          <w:tcPr>
            <w:tcW w:w="1104" w:type="dxa"/>
            <w:vAlign w:val="center"/>
          </w:tcPr>
          <w:p>
            <w:pPr>
              <w:adjustRightInd w:val="0"/>
              <w:snapToGrid w:val="0"/>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83.8%</w:t>
            </w:r>
          </w:p>
        </w:tc>
        <w:tc>
          <w:tcPr>
            <w:tcW w:w="1056" w:type="dxa"/>
            <w:vAlign w:val="center"/>
          </w:tcPr>
          <w:p>
            <w:pPr>
              <w:adjustRightInd w:val="0"/>
              <w:snapToGrid w:val="0"/>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83.8%</w:t>
            </w:r>
          </w:p>
        </w:tc>
        <w:tc>
          <w:tcPr>
            <w:tcW w:w="1054" w:type="dxa"/>
            <w:vAlign w:val="center"/>
          </w:tcPr>
          <w:p>
            <w:pPr>
              <w:adjustRightInd w:val="0"/>
              <w:snapToGrid w:val="0"/>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7" w:type="dxa"/>
            <w:vAlign w:val="center"/>
          </w:tcPr>
          <w:p>
            <w:pPr>
              <w:adjustRightInd w:val="0"/>
              <w:snapToGrid w:val="0"/>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895" w:type="dxa"/>
            <w:vMerge w:val="continue"/>
            <w:vAlign w:val="center"/>
          </w:tcPr>
          <w:p>
            <w:pPr>
              <w:adjustRightInd w:val="0"/>
              <w:snapToGrid w:val="0"/>
              <w:spacing w:line="400" w:lineRule="exact"/>
              <w:jc w:val="center"/>
              <w:rPr>
                <w:rFonts w:ascii="Times New Roman" w:hAnsi="Times New Roman" w:eastAsia="仿宋_GB2312" w:cs="Times New Roman"/>
                <w:sz w:val="24"/>
                <w:szCs w:val="24"/>
              </w:rPr>
            </w:pPr>
          </w:p>
        </w:tc>
        <w:tc>
          <w:tcPr>
            <w:tcW w:w="2983" w:type="dxa"/>
            <w:vAlign w:val="center"/>
          </w:tcPr>
          <w:p>
            <w:pPr>
              <w:adjustRightInd w:val="0"/>
              <w:snapToGrid w:val="0"/>
              <w:spacing w:line="4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细颗粒物（PM</w:t>
            </w:r>
            <w:r>
              <w:rPr>
                <w:rFonts w:ascii="Times New Roman" w:hAnsi="Times New Roman" w:eastAsia="仿宋_GB2312" w:cs="Times New Roman"/>
                <w:sz w:val="24"/>
                <w:szCs w:val="24"/>
                <w:vertAlign w:val="subscript"/>
              </w:rPr>
              <w:t>2.5</w:t>
            </w:r>
            <w:r>
              <w:rPr>
                <w:rFonts w:ascii="Times New Roman" w:hAnsi="Times New Roman" w:eastAsia="仿宋_GB2312" w:cs="Times New Roman"/>
                <w:sz w:val="24"/>
                <w:szCs w:val="24"/>
              </w:rPr>
              <w:t>）较2015年下降比例（%）</w:t>
            </w:r>
          </w:p>
        </w:tc>
        <w:tc>
          <w:tcPr>
            <w:tcW w:w="1014" w:type="dxa"/>
            <w:vAlign w:val="center"/>
          </w:tcPr>
          <w:p>
            <w:pPr>
              <w:adjustRightInd w:val="0"/>
              <w:snapToGrid w:val="0"/>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18.0%</w:t>
            </w:r>
          </w:p>
        </w:tc>
        <w:tc>
          <w:tcPr>
            <w:tcW w:w="1104" w:type="dxa"/>
            <w:vAlign w:val="center"/>
          </w:tcPr>
          <w:p>
            <w:pPr>
              <w:adjustRightInd w:val="0"/>
              <w:snapToGrid w:val="0"/>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19.0%</w:t>
            </w:r>
          </w:p>
        </w:tc>
        <w:tc>
          <w:tcPr>
            <w:tcW w:w="1056" w:type="dxa"/>
            <w:vAlign w:val="center"/>
          </w:tcPr>
          <w:p>
            <w:pPr>
              <w:adjustRightInd w:val="0"/>
              <w:snapToGrid w:val="0"/>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w:t>
            </w:r>
          </w:p>
        </w:tc>
        <w:tc>
          <w:tcPr>
            <w:tcW w:w="1054" w:type="dxa"/>
            <w:vAlign w:val="center"/>
          </w:tcPr>
          <w:p>
            <w:pPr>
              <w:adjustRightInd w:val="0"/>
              <w:snapToGrid w:val="0"/>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36" w:hRule="atLeast"/>
          <w:jc w:val="center"/>
        </w:trPr>
        <w:tc>
          <w:tcPr>
            <w:tcW w:w="417" w:type="dxa"/>
            <w:vAlign w:val="center"/>
          </w:tcPr>
          <w:p>
            <w:pPr>
              <w:adjustRightInd w:val="0"/>
              <w:snapToGrid w:val="0"/>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895" w:type="dxa"/>
            <w:vMerge w:val="restart"/>
            <w:vAlign w:val="center"/>
          </w:tcPr>
          <w:p>
            <w:pPr>
              <w:adjustRightInd w:val="0"/>
              <w:snapToGrid w:val="0"/>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主要污染物排放总量减少（%）</w:t>
            </w:r>
          </w:p>
        </w:tc>
        <w:tc>
          <w:tcPr>
            <w:tcW w:w="2983" w:type="dxa"/>
            <w:vAlign w:val="center"/>
          </w:tcPr>
          <w:p>
            <w:pPr>
              <w:adjustRightInd w:val="0"/>
              <w:snapToGrid w:val="0"/>
              <w:spacing w:line="4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二氧化硫</w:t>
            </w:r>
          </w:p>
        </w:tc>
        <w:tc>
          <w:tcPr>
            <w:tcW w:w="1014" w:type="dxa"/>
            <w:vAlign w:val="center"/>
          </w:tcPr>
          <w:p>
            <w:pPr>
              <w:adjustRightInd w:val="0"/>
              <w:snapToGrid w:val="0"/>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13.2</w:t>
            </w:r>
          </w:p>
        </w:tc>
        <w:tc>
          <w:tcPr>
            <w:tcW w:w="1104" w:type="dxa"/>
            <w:vAlign w:val="center"/>
          </w:tcPr>
          <w:p>
            <w:pPr>
              <w:adjustRightInd w:val="0"/>
              <w:snapToGrid w:val="0"/>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14.4</w:t>
            </w:r>
          </w:p>
        </w:tc>
        <w:tc>
          <w:tcPr>
            <w:tcW w:w="1056" w:type="dxa"/>
            <w:vAlign w:val="center"/>
          </w:tcPr>
          <w:p>
            <w:pPr>
              <w:adjustRightInd w:val="0"/>
              <w:snapToGrid w:val="0"/>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15</w:t>
            </w:r>
          </w:p>
        </w:tc>
        <w:tc>
          <w:tcPr>
            <w:tcW w:w="1054" w:type="dxa"/>
            <w:vAlign w:val="center"/>
          </w:tcPr>
          <w:p>
            <w:pPr>
              <w:adjustRightInd w:val="0"/>
              <w:snapToGrid w:val="0"/>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7" w:type="dxa"/>
            <w:vAlign w:val="center"/>
          </w:tcPr>
          <w:p>
            <w:pPr>
              <w:adjustRightInd w:val="0"/>
              <w:snapToGrid w:val="0"/>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895" w:type="dxa"/>
            <w:vMerge w:val="continue"/>
            <w:vAlign w:val="center"/>
          </w:tcPr>
          <w:p>
            <w:pPr>
              <w:adjustRightInd w:val="0"/>
              <w:snapToGrid w:val="0"/>
              <w:spacing w:line="400" w:lineRule="exact"/>
              <w:jc w:val="center"/>
              <w:rPr>
                <w:rFonts w:ascii="Times New Roman" w:hAnsi="Times New Roman" w:eastAsia="仿宋_GB2312" w:cs="Times New Roman"/>
                <w:sz w:val="24"/>
                <w:szCs w:val="24"/>
              </w:rPr>
            </w:pPr>
          </w:p>
        </w:tc>
        <w:tc>
          <w:tcPr>
            <w:tcW w:w="2983" w:type="dxa"/>
            <w:vAlign w:val="center"/>
          </w:tcPr>
          <w:p>
            <w:pPr>
              <w:adjustRightInd w:val="0"/>
              <w:snapToGrid w:val="0"/>
              <w:spacing w:line="4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氮氧化物</w:t>
            </w:r>
          </w:p>
        </w:tc>
        <w:tc>
          <w:tcPr>
            <w:tcW w:w="1014" w:type="dxa"/>
            <w:vAlign w:val="center"/>
          </w:tcPr>
          <w:p>
            <w:pPr>
              <w:adjustRightInd w:val="0"/>
              <w:snapToGrid w:val="0"/>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6.3</w:t>
            </w:r>
          </w:p>
        </w:tc>
        <w:tc>
          <w:tcPr>
            <w:tcW w:w="1104" w:type="dxa"/>
            <w:vAlign w:val="center"/>
          </w:tcPr>
          <w:p>
            <w:pPr>
              <w:adjustRightInd w:val="0"/>
              <w:snapToGrid w:val="0"/>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7.6</w:t>
            </w:r>
          </w:p>
        </w:tc>
        <w:tc>
          <w:tcPr>
            <w:tcW w:w="1056" w:type="dxa"/>
            <w:vAlign w:val="center"/>
          </w:tcPr>
          <w:p>
            <w:pPr>
              <w:adjustRightInd w:val="0"/>
              <w:snapToGrid w:val="0"/>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11</w:t>
            </w:r>
          </w:p>
        </w:tc>
        <w:tc>
          <w:tcPr>
            <w:tcW w:w="1054" w:type="dxa"/>
            <w:vAlign w:val="center"/>
          </w:tcPr>
          <w:p>
            <w:pPr>
              <w:adjustRightInd w:val="0"/>
              <w:snapToGrid w:val="0"/>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约束性</w:t>
            </w:r>
          </w:p>
        </w:tc>
      </w:tr>
    </w:tbl>
    <w:p>
      <w:pPr>
        <w:pStyle w:val="2"/>
        <w:keepNext w:val="0"/>
        <w:keepLines w:val="0"/>
        <w:adjustRightInd w:val="0"/>
        <w:snapToGrid w:val="0"/>
        <w:spacing w:before="0" w:after="0" w:line="600" w:lineRule="exact"/>
        <w:ind w:firstLine="640" w:firstLineChars="200"/>
        <w:rPr>
          <w:rFonts w:ascii="Times New Roman" w:hAnsi="Times New Roman" w:eastAsia="黑体" w:cs="Times New Roman"/>
          <w:b w:val="0"/>
          <w:sz w:val="32"/>
          <w:szCs w:val="32"/>
        </w:rPr>
      </w:pPr>
      <w:bookmarkStart w:id="7" w:name="_Toc505589487"/>
      <w:r>
        <w:rPr>
          <w:rFonts w:ascii="Times New Roman" w:hAnsi="Times New Roman" w:eastAsia="黑体" w:cs="Times New Roman"/>
          <w:b w:val="0"/>
          <w:sz w:val="32"/>
          <w:szCs w:val="32"/>
        </w:rPr>
        <w:t>三、重点工作任务</w:t>
      </w:r>
      <w:bookmarkEnd w:id="7"/>
    </w:p>
    <w:p>
      <w:pPr>
        <w:pStyle w:val="3"/>
        <w:keepNext w:val="0"/>
        <w:keepLines w:val="0"/>
        <w:adjustRightInd w:val="0"/>
        <w:snapToGrid w:val="0"/>
        <w:spacing w:before="0" w:after="0" w:line="600" w:lineRule="exact"/>
        <w:ind w:firstLine="643" w:firstLineChars="200"/>
        <w:rPr>
          <w:rFonts w:ascii="Times New Roman" w:hAnsi="Times New Roman" w:eastAsia="楷体_GB2312"/>
        </w:rPr>
      </w:pPr>
      <w:bookmarkStart w:id="8" w:name="_Toc505589488"/>
      <w:r>
        <w:rPr>
          <w:rFonts w:ascii="Times New Roman" w:hAnsi="Times New Roman" w:eastAsia="楷体_GB2312"/>
        </w:rPr>
        <w:t>（一）</w:t>
      </w:r>
      <w:bookmarkEnd w:id="8"/>
      <w:r>
        <w:rPr>
          <w:rFonts w:ascii="Times New Roman" w:hAnsi="Times New Roman" w:eastAsia="楷体_GB2312"/>
        </w:rPr>
        <w:t>调整优化产业结构，推进产业绿色发展</w:t>
      </w:r>
    </w:p>
    <w:p>
      <w:pPr>
        <w:adjustRightInd w:val="0"/>
        <w:snapToGrid w:val="0"/>
        <w:spacing w:line="600" w:lineRule="exact"/>
        <w:ind w:firstLine="643" w:firstLineChars="200"/>
        <w:outlineLvl w:val="1"/>
        <w:rPr>
          <w:rFonts w:ascii="Times New Roman" w:hAnsi="Times New Roman" w:eastAsia="楷体_GB2312" w:cs="Times New Roman"/>
          <w:b/>
          <w:bCs/>
          <w:sz w:val="30"/>
          <w:szCs w:val="30"/>
        </w:rPr>
      </w:pPr>
      <w:r>
        <w:rPr>
          <w:rFonts w:ascii="Times New Roman" w:hAnsi="Times New Roman" w:eastAsia="仿宋_GB2312" w:cs="Times New Roman"/>
          <w:b/>
          <w:sz w:val="32"/>
          <w:szCs w:val="32"/>
        </w:rPr>
        <w:t>1.产业结构调整优化。</w:t>
      </w:r>
      <w:r>
        <w:rPr>
          <w:rFonts w:ascii="Times New Roman" w:hAnsi="Times New Roman" w:eastAsia="仿宋_GB2312" w:cs="Times New Roman"/>
          <w:sz w:val="32"/>
          <w:szCs w:val="32"/>
        </w:rPr>
        <w:t>按计划有序推进“三线一单”编制工作，明确禁止和限制发展的行业、生产工艺和产业目录。制订更严格的产业准入门槛，建立项目环评审批与规划环评、现有项目环境管理、区域环境质量联动的“三挂钩”机制。严格高能耗、高物耗和产能过剩、低水平重复建设项目，以及涉及其他具有重大环境风险建设项目的环评审批。</w:t>
      </w:r>
      <w:r>
        <w:rPr>
          <w:rFonts w:ascii="Times New Roman" w:hAnsi="Times New Roman" w:eastAsia="楷体_GB2312" w:cs="Times New Roman"/>
          <w:b/>
          <w:bCs/>
          <w:sz w:val="30"/>
          <w:szCs w:val="30"/>
        </w:rPr>
        <w:t>（市发改委、市环保局牵头；市经信委、市国土局参与。以下责任主体均为地方各级人民政府，不再列出，如部分机构职能及工作职责有所调整，将根据新的调整对接相应工作，不再另行分工）</w:t>
      </w:r>
    </w:p>
    <w:p>
      <w:pPr>
        <w:adjustRightInd w:val="0"/>
        <w:snapToGrid w:val="0"/>
        <w:spacing w:line="600" w:lineRule="exact"/>
        <w:ind w:firstLine="640" w:firstLineChars="200"/>
        <w:rPr>
          <w:rFonts w:ascii="Times New Roman" w:hAnsi="Times New Roman" w:eastAsia="楷体_GB2312" w:cs="Times New Roman"/>
          <w:b/>
          <w:bCs/>
          <w:sz w:val="30"/>
          <w:szCs w:val="30"/>
        </w:rPr>
      </w:pPr>
      <w:r>
        <w:rPr>
          <w:rFonts w:ascii="Times New Roman" w:hAnsi="Times New Roman" w:eastAsia="仿宋_GB2312" w:cs="Times New Roman"/>
          <w:sz w:val="32"/>
          <w:szCs w:val="32"/>
        </w:rPr>
        <w:t>加大区域产业布局调整力度。科学制定并严格实施城市规划，规范各类产业园区及城市新城、新区设立和布局，进一步推进“多规合一”，形成有利于大气污染物扩散的城市和区域空间格局。</w:t>
      </w:r>
      <w:r>
        <w:rPr>
          <w:rFonts w:ascii="Times New Roman" w:hAnsi="Times New Roman" w:eastAsia="楷体_GB2312" w:cs="Times New Roman"/>
          <w:b/>
          <w:bCs/>
          <w:sz w:val="30"/>
          <w:szCs w:val="30"/>
        </w:rPr>
        <w:t>（市发改委、经信委、环保局、住建委等按职责负责）</w:t>
      </w:r>
    </w:p>
    <w:p>
      <w:pPr>
        <w:adjustRightInd w:val="0"/>
        <w:snapToGrid w:val="0"/>
        <w:spacing w:line="600" w:lineRule="exact"/>
        <w:ind w:firstLine="643" w:firstLineChars="200"/>
        <w:outlineLvl w:val="1"/>
        <w:rPr>
          <w:rFonts w:ascii="Times New Roman" w:hAnsi="Times New Roman" w:eastAsia="楷体_GB2312" w:cs="Times New Roman"/>
          <w:b/>
          <w:sz w:val="32"/>
          <w:szCs w:val="32"/>
        </w:rPr>
      </w:pPr>
      <w:bookmarkStart w:id="9" w:name="_Toc509575074"/>
      <w:r>
        <w:rPr>
          <w:rFonts w:ascii="Times New Roman" w:hAnsi="Times New Roman" w:eastAsia="仿宋_GB2312" w:cs="Times New Roman"/>
          <w:b/>
          <w:sz w:val="32"/>
          <w:szCs w:val="32"/>
        </w:rPr>
        <w:t>2.严控“两高”行业产能</w:t>
      </w:r>
      <w:bookmarkEnd w:id="9"/>
      <w:r>
        <w:rPr>
          <w:rFonts w:ascii="Times New Roman" w:hAnsi="Times New Roman" w:eastAsia="仿宋_GB2312" w:cs="Times New Roman"/>
          <w:b/>
          <w:sz w:val="32"/>
          <w:szCs w:val="32"/>
        </w:rPr>
        <w:t>。</w:t>
      </w:r>
      <w:r>
        <w:rPr>
          <w:rFonts w:ascii="Times New Roman" w:hAnsi="Times New Roman" w:eastAsia="仿宋_GB2312" w:cs="Times New Roman"/>
          <w:sz w:val="32"/>
          <w:szCs w:val="32"/>
        </w:rPr>
        <w:t>严格控制钢铁、水泥、电解铝、平板玻璃等产能过剩行业新增产能，新、改、扩建项目要实行产能等量或减量置换。严格执行质量、环保、能耗、安全等法规标准，执行国家及自治区产业结构调整指导目录，完成淘汰落后产能任务，加大高排放、高污染企业的淘汰力度。</w:t>
      </w:r>
      <w:r>
        <w:rPr>
          <w:rFonts w:ascii="Times New Roman" w:hAnsi="Times New Roman" w:eastAsia="楷体_GB2312" w:cs="Times New Roman"/>
          <w:b/>
          <w:bCs/>
          <w:sz w:val="32"/>
          <w:szCs w:val="32"/>
        </w:rPr>
        <w:t>（市经信委、发改委牵头；市环保局、安全监管局、工商质监局等部门参与）</w:t>
      </w:r>
    </w:p>
    <w:p>
      <w:pPr>
        <w:adjustRightInd w:val="0"/>
        <w:snapToGrid w:val="0"/>
        <w:spacing w:line="600" w:lineRule="exact"/>
        <w:ind w:firstLine="643" w:firstLineChars="200"/>
        <w:jc w:val="left"/>
        <w:rPr>
          <w:rFonts w:ascii="Times New Roman" w:hAnsi="Times New Roman" w:eastAsia="楷体_GB2312" w:cs="Times New Roman"/>
          <w:sz w:val="32"/>
          <w:szCs w:val="32"/>
        </w:rPr>
      </w:pPr>
      <w:r>
        <w:rPr>
          <w:rFonts w:ascii="Times New Roman" w:hAnsi="Times New Roman" w:eastAsia="仿宋_GB2312" w:cs="Times New Roman"/>
          <w:b/>
          <w:sz w:val="32"/>
          <w:szCs w:val="32"/>
        </w:rPr>
        <w:t>3.强化“散乱污”企业综合整治。</w:t>
      </w:r>
      <w:r>
        <w:rPr>
          <w:rFonts w:ascii="Times New Roman" w:hAnsi="Times New Roman" w:eastAsia="仿宋_GB2312" w:cs="Times New Roman"/>
          <w:sz w:val="32"/>
          <w:szCs w:val="32"/>
        </w:rPr>
        <w:t>全面开展“散乱污”企业及集群综合整治行动。各旗县区政府、开发区管委会根据产业政策、产业布局规划，以及土地、环保、质量、安全、能耗等要求，制定“散乱污”企业及集群整治标准。对“散乱污”企业进行全面排查，实行动态更新和台账管理。按照“先停后治”的原则，实施分类处置。列入关停取缔类的，基本做到“两断三清”（切断工业用水、用电，清除原料、产品、生产设备），坚决杜绝已取缔的“散乱污”企业异地转移、死灰复燃；列入整合搬迁类的，要按照产业发展规模化、现代化的原则，搬迁至工业园区并实施升级改造；列入升级改造类的，树立行业标杆，实施清洁生产技术改造，全面提升污染治理水平。到2020年底，基本完成“散乱污”企业综合整治工作。</w:t>
      </w:r>
      <w:r>
        <w:rPr>
          <w:rFonts w:ascii="Times New Roman" w:hAnsi="Times New Roman" w:eastAsia="楷体_GB2312" w:cs="Times New Roman"/>
          <w:b/>
          <w:bCs/>
          <w:sz w:val="32"/>
          <w:szCs w:val="32"/>
        </w:rPr>
        <w:t>（市环保局、经信委牵头；市发改委、国土局、工商质监局等参与。）</w:t>
      </w:r>
    </w:p>
    <w:p>
      <w:pPr>
        <w:adjustRightInd w:val="0"/>
        <w:snapToGrid w:val="0"/>
        <w:spacing w:line="600" w:lineRule="exact"/>
        <w:ind w:firstLine="643" w:firstLineChars="200"/>
        <w:outlineLvl w:val="1"/>
        <w:rPr>
          <w:rFonts w:ascii="Times New Roman" w:hAnsi="Times New Roman" w:eastAsia="楷体_GB2312" w:cs="Times New Roman"/>
          <w:b/>
          <w:sz w:val="32"/>
          <w:szCs w:val="32"/>
        </w:rPr>
      </w:pPr>
      <w:r>
        <w:rPr>
          <w:rFonts w:ascii="Times New Roman" w:hAnsi="Times New Roman" w:eastAsia="仿宋_GB2312" w:cs="Times New Roman"/>
          <w:b/>
          <w:sz w:val="32"/>
          <w:szCs w:val="32"/>
        </w:rPr>
        <w:t>4.深化工业污染治理。</w:t>
      </w:r>
      <w:r>
        <w:rPr>
          <w:rFonts w:ascii="Times New Roman" w:hAnsi="Times New Roman" w:eastAsia="仿宋_GB2312" w:cs="Times New Roman"/>
          <w:sz w:val="32"/>
          <w:szCs w:val="32"/>
        </w:rPr>
        <w:t>持续推进工业污染源全面达标排放，将烟气在线监测数据作为执法依据，加大超标处罚和联合惩戒力度。建立覆盖所有固定污染源的企业排放许可制度，到2020年底，完成排污许可管理名录规定的行业许可证核发，未依法取得排污许可证、未按证排污的，依法依规处罚。</w:t>
      </w:r>
      <w:r>
        <w:rPr>
          <w:rFonts w:ascii="Times New Roman" w:hAnsi="Times New Roman" w:eastAsia="楷体_GB2312" w:cs="Times New Roman"/>
          <w:b/>
          <w:bCs/>
          <w:sz w:val="32"/>
          <w:szCs w:val="32"/>
        </w:rPr>
        <w:t>（市环保局牵头）</w:t>
      </w:r>
    </w:p>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sz w:val="32"/>
          <w:szCs w:val="32"/>
        </w:rPr>
        <w:t>加强重点行业提标改造。全市大力推进燃煤机组（不含循环流化床及“W”火焰锅炉）超低排放改造，到2020年底，全市具备改造条件的燃煤电厂全部完成改造。推动实施钢铁等行业超低排放改造。</w:t>
      </w:r>
      <w:r>
        <w:rPr>
          <w:rFonts w:ascii="Times New Roman" w:hAnsi="Times New Roman" w:eastAsia="楷体_GB2312" w:cs="Times New Roman"/>
          <w:b/>
          <w:bCs/>
          <w:sz w:val="32"/>
          <w:szCs w:val="32"/>
        </w:rPr>
        <w:t>（市环保局牵头；市发改委参与）</w:t>
      </w:r>
      <w:bookmarkStart w:id="10" w:name="_Toc509575089"/>
    </w:p>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sz w:val="32"/>
          <w:szCs w:val="32"/>
        </w:rPr>
        <w:t>强化工业企业无组织排放管理</w:t>
      </w:r>
      <w:bookmarkEnd w:id="10"/>
      <w:r>
        <w:rPr>
          <w:rFonts w:ascii="Times New Roman" w:hAnsi="Times New Roman" w:eastAsia="仿宋_GB2312" w:cs="Times New Roman"/>
          <w:sz w:val="32"/>
          <w:szCs w:val="32"/>
        </w:rPr>
        <w:t>。企业应制定无组织排放改造方案，强化火电、钢铁、有色金属、黑色金属、铁合金制造、建材、焦化、煤化工、热力生产及供应等重点行业无组织排放管理，建立管理清单。对物料（含废渣）运输、装卸、储存、转移和工艺过程等无组织排放实施深度治理。到2019年底，重点行业粉状物料堆场必须进行全封闭，块状物料必须安装抑尘设施，到2020年底，基本完成治理任务。</w:t>
      </w:r>
      <w:r>
        <w:rPr>
          <w:rFonts w:ascii="Times New Roman" w:hAnsi="Times New Roman" w:eastAsia="楷体_GB2312" w:cs="Times New Roman"/>
          <w:b/>
          <w:bCs/>
          <w:sz w:val="32"/>
          <w:szCs w:val="32"/>
        </w:rPr>
        <w:t>（市环保局牵头；市经信委参与）</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推进园区循环化改造示范试点建设。到2020年底，全市的国家级园区和50%的自治区级园区实施循环化改造。继续推进重点行业能源审计、清洁生产审核和清洁生产技术改造。全面推进企业清洁生产。</w:t>
      </w:r>
      <w:r>
        <w:rPr>
          <w:rFonts w:ascii="Times New Roman" w:hAnsi="Times New Roman" w:eastAsia="楷体_GB2312" w:cs="Times New Roman"/>
          <w:b/>
          <w:bCs/>
          <w:sz w:val="32"/>
          <w:szCs w:val="32"/>
        </w:rPr>
        <w:t>（市经信委牵头；市发改委、科技局、环保局、商务局等参与）</w:t>
      </w:r>
    </w:p>
    <w:p>
      <w:pPr>
        <w:adjustRightInd w:val="0"/>
        <w:snapToGrid w:val="0"/>
        <w:spacing w:line="600" w:lineRule="exact"/>
        <w:ind w:firstLine="643" w:firstLineChars="200"/>
        <w:jc w:val="left"/>
        <w:rPr>
          <w:rFonts w:ascii="Times New Roman" w:hAnsi="Times New Roman" w:eastAsia="楷体_GB2312" w:cs="Times New Roman"/>
          <w:sz w:val="32"/>
          <w:szCs w:val="32"/>
        </w:rPr>
      </w:pPr>
      <w:r>
        <w:rPr>
          <w:rFonts w:ascii="Times New Roman" w:hAnsi="Times New Roman" w:eastAsia="仿宋_GB2312" w:cs="Times New Roman"/>
          <w:b/>
          <w:sz w:val="32"/>
          <w:szCs w:val="32"/>
        </w:rPr>
        <w:t>5.大力培育绿色环保产业。</w:t>
      </w:r>
      <w:r>
        <w:rPr>
          <w:rFonts w:ascii="Times New Roman" w:hAnsi="Times New Roman" w:eastAsia="仿宋_GB2312" w:cs="Times New Roman"/>
          <w:sz w:val="32"/>
          <w:szCs w:val="32"/>
        </w:rPr>
        <w:t>推动环保产业集聚发展，以“环保管家”、环境绩效合同服务等创新服务方式推进重点示范工程建设，发展壮大“互联网+环保”、环境大数据及分析应用、第三方环保综合服务、新型环保服务等领域的环保服务业，培育一批高水平、专业化节能环保服务公司。借助自治区环投公司成立的契机，在生活垃圾处理、工业污染治理、生态环境修复、环境风险与损害评价、排污权交易、环境污染责任保险等重点领域实施深入合作。</w:t>
      </w:r>
      <w:r>
        <w:rPr>
          <w:rFonts w:ascii="Times New Roman" w:hAnsi="Times New Roman" w:eastAsia="楷体_GB2312" w:cs="Times New Roman"/>
          <w:b/>
          <w:bCs/>
          <w:sz w:val="32"/>
          <w:szCs w:val="32"/>
        </w:rPr>
        <w:t>（市环保局牵头）</w:t>
      </w:r>
    </w:p>
    <w:p>
      <w:pPr>
        <w:pStyle w:val="2"/>
        <w:keepNext w:val="0"/>
        <w:keepLines w:val="0"/>
        <w:adjustRightInd w:val="0"/>
        <w:snapToGrid w:val="0"/>
        <w:spacing w:before="0" w:after="0" w:line="600" w:lineRule="exact"/>
        <w:ind w:firstLine="602" w:firstLineChars="200"/>
        <w:rPr>
          <w:rFonts w:ascii="Times New Roman" w:hAnsi="Times New Roman" w:eastAsia="楷体_GB2312" w:cs="Times New Roman"/>
          <w:sz w:val="32"/>
          <w:szCs w:val="32"/>
        </w:rPr>
      </w:pPr>
      <w:bookmarkStart w:id="11" w:name="_Toc505589489"/>
      <w:r>
        <w:rPr>
          <w:rFonts w:ascii="Times New Roman" w:hAnsi="Times New Roman" w:eastAsia="楷体_GB2312" w:cs="Times New Roman"/>
          <w:sz w:val="30"/>
          <w:szCs w:val="30"/>
        </w:rPr>
        <w:t>（二）</w:t>
      </w:r>
      <w:r>
        <w:rPr>
          <w:rFonts w:ascii="Times New Roman" w:hAnsi="Times New Roman" w:eastAsia="楷体_GB2312" w:cs="Times New Roman"/>
          <w:sz w:val="32"/>
          <w:szCs w:val="32"/>
        </w:rPr>
        <w:t>加快调整能源结构，构建高效能源体系</w:t>
      </w:r>
    </w:p>
    <w:p>
      <w:pPr>
        <w:adjustRightInd w:val="0"/>
        <w:snapToGrid w:val="0"/>
        <w:spacing w:line="600" w:lineRule="exact"/>
        <w:ind w:firstLine="643" w:firstLineChars="200"/>
        <w:outlineLvl w:val="1"/>
        <w:rPr>
          <w:rFonts w:ascii="Times New Roman" w:hAnsi="Times New Roman" w:eastAsia="仿宋_GB2312" w:cs="Times New Roman"/>
          <w:sz w:val="32"/>
          <w:szCs w:val="32"/>
        </w:rPr>
      </w:pPr>
      <w:r>
        <w:rPr>
          <w:rFonts w:ascii="Times New Roman" w:hAnsi="Times New Roman" w:eastAsia="仿宋_GB2312" w:cs="Times New Roman"/>
          <w:b/>
          <w:sz w:val="32"/>
          <w:szCs w:val="32"/>
        </w:rPr>
        <w:t>6.实施能源消费双控。</w:t>
      </w:r>
      <w:r>
        <w:rPr>
          <w:rFonts w:ascii="Times New Roman" w:hAnsi="Times New Roman" w:eastAsia="仿宋_GB2312" w:cs="Times New Roman"/>
          <w:sz w:val="32"/>
          <w:szCs w:val="32"/>
        </w:rPr>
        <w:t>大力推进能源消费总量和强度“双控”，通过节能降耗促进煤炭消费减量。认真落实自治区《“十三五”节能降碳综合工作方案》和《节能减排“十三五”规划》，到2020年底，全市能源消费总量控制在0.11亿吨标准煤以内，单位地区生产总值能耗较2015年下降14%。按照煤炭集中使用、清洁利用的原则，重点削减非电力用煤，提高电力用煤比例，电力用煤占煤炭消费总量比重提高到55%左右。</w:t>
      </w:r>
      <w:r>
        <w:rPr>
          <w:rFonts w:ascii="Times New Roman" w:hAnsi="Times New Roman" w:eastAsia="楷体_GB2312" w:cs="Times New Roman"/>
          <w:b/>
          <w:bCs/>
          <w:sz w:val="32"/>
          <w:szCs w:val="32"/>
        </w:rPr>
        <w:t>（市发改委、经信委牵头；市住建委、交通局、机关事务管理局等参与）</w:t>
      </w:r>
    </w:p>
    <w:p>
      <w:pPr>
        <w:adjustRightInd w:val="0"/>
        <w:snapToGrid w:val="0"/>
        <w:spacing w:line="600" w:lineRule="exact"/>
        <w:ind w:firstLine="640" w:firstLineChars="200"/>
        <w:rPr>
          <w:rFonts w:ascii="Times New Roman" w:hAnsi="Times New Roman" w:eastAsia="楷体_GB2312" w:cs="Times New Roman"/>
          <w:b/>
          <w:bCs/>
          <w:sz w:val="32"/>
          <w:szCs w:val="32"/>
        </w:rPr>
      </w:pPr>
      <w:r>
        <w:rPr>
          <w:rFonts w:ascii="Times New Roman" w:hAnsi="Times New Roman" w:eastAsia="仿宋_GB2312" w:cs="Times New Roman"/>
          <w:sz w:val="32"/>
          <w:szCs w:val="32"/>
        </w:rPr>
        <w:t>按照国家要求，严格执行环保、能耗、安全、技术等法律法规和产业政策，在明确机组淘汰标准和关停程序后，有力有序淘汰关停不达标的30万千瓦以下燃煤机组。对于关停机组的装机容量、煤炭消费量和污染物排放量指标，可按照国家相关政策进行交易或置换。</w:t>
      </w:r>
      <w:r>
        <w:rPr>
          <w:rFonts w:ascii="Times New Roman" w:hAnsi="Times New Roman" w:eastAsia="楷体_GB2312" w:cs="Times New Roman"/>
          <w:b/>
          <w:bCs/>
          <w:sz w:val="32"/>
          <w:szCs w:val="32"/>
        </w:rPr>
        <w:t>（市发改委牵头；市经信委、环保局等参与）</w:t>
      </w:r>
    </w:p>
    <w:p>
      <w:pPr>
        <w:adjustRightInd w:val="0"/>
        <w:snapToGrid w:val="0"/>
        <w:spacing w:line="600" w:lineRule="exact"/>
        <w:ind w:firstLine="643" w:firstLineChars="200"/>
        <w:outlineLvl w:val="1"/>
        <w:rPr>
          <w:rFonts w:ascii="Times New Roman" w:hAnsi="Times New Roman" w:eastAsia="楷体" w:cs="Times New Roman"/>
          <w:b/>
          <w:sz w:val="32"/>
          <w:szCs w:val="32"/>
        </w:rPr>
      </w:pPr>
      <w:r>
        <w:rPr>
          <w:rFonts w:ascii="Times New Roman" w:hAnsi="Times New Roman" w:eastAsia="仿宋_GB2312" w:cs="Times New Roman"/>
          <w:b/>
          <w:sz w:val="32"/>
          <w:szCs w:val="32"/>
        </w:rPr>
        <w:t>7.推进冬季清洁取暖。</w:t>
      </w:r>
      <w:r>
        <w:rPr>
          <w:rFonts w:ascii="Times New Roman" w:hAnsi="Times New Roman" w:eastAsia="仿宋_GB2312" w:cs="Times New Roman"/>
          <w:sz w:val="32"/>
          <w:szCs w:val="32"/>
        </w:rPr>
        <w:t>各旗县区人民政府、开发区管委会加快制定清洁取暖实施方案。以增加集中供热面积为重点，大力推进“城中村”和“棚户区”改造力度。对近期不能实施拆迁的地区，按照“宜气则气、宜电则电”的原则，加大气源电源保障力度，积极推动“煤改气”“煤改电”双替代工作。对暂时不能通过清洁供暖替代散烧煤供暖的，要因地制宜利用“洁净型煤+环保炉具”“生物质成型燃料+专用炉具”等模式进行替代。加强煤质监管，严厉打击销售使用劣质煤行为。</w:t>
      </w:r>
      <w:r>
        <w:rPr>
          <w:rFonts w:ascii="Times New Roman" w:hAnsi="Times New Roman" w:eastAsia="楷体_GB2312" w:cs="Times New Roman"/>
          <w:b/>
          <w:bCs/>
          <w:sz w:val="32"/>
          <w:szCs w:val="32"/>
        </w:rPr>
        <w:t>（市住建委、发改委、环保局牵头；市财政局、经信委、工商质监局等参与）</w:t>
      </w:r>
    </w:p>
    <w:p>
      <w:pPr>
        <w:adjustRightInd w:val="0"/>
        <w:snapToGrid w:val="0"/>
        <w:spacing w:line="600" w:lineRule="exact"/>
        <w:ind w:firstLine="640" w:firstLineChars="200"/>
        <w:rPr>
          <w:rFonts w:ascii="Times New Roman" w:hAnsi="Times New Roman" w:eastAsia="楷体_GB2312" w:cs="Times New Roman"/>
          <w:b/>
          <w:bCs/>
          <w:sz w:val="32"/>
          <w:szCs w:val="32"/>
        </w:rPr>
      </w:pPr>
      <w:r>
        <w:rPr>
          <w:rFonts w:ascii="Times New Roman" w:hAnsi="Times New Roman" w:eastAsia="仿宋_GB2312" w:cs="Times New Roman"/>
          <w:sz w:val="32"/>
          <w:szCs w:val="32"/>
        </w:rPr>
        <w:t>抓好天然气产供储销体系建设。到2020年底，全市天然气消费比重增加到4%，消费量达到6亿立方米左右。新增天然气消费优先用于居民生活、天然气汽车和替代燃煤。加快储气设施建设步伐，2020年采暖季前，地方政府、城镇燃气企业和上游供气企业的储备能力达到量化指标要求。建立完善调峰用户清单，采暖季实行“压非保民”。</w:t>
      </w:r>
      <w:r>
        <w:rPr>
          <w:rFonts w:ascii="Times New Roman" w:hAnsi="Times New Roman" w:eastAsia="楷体_GB2312" w:cs="Times New Roman"/>
          <w:b/>
          <w:bCs/>
          <w:sz w:val="32"/>
          <w:szCs w:val="32"/>
        </w:rPr>
        <w:t>（市发改委、经信委牵头；市住建委等参与）</w:t>
      </w:r>
    </w:p>
    <w:p>
      <w:pPr>
        <w:adjustRightInd w:val="0"/>
        <w:snapToGrid w:val="0"/>
        <w:spacing w:line="600" w:lineRule="exact"/>
        <w:ind w:firstLine="640" w:firstLineChars="200"/>
        <w:rPr>
          <w:rFonts w:ascii="Times New Roman" w:hAnsi="Times New Roman" w:eastAsia="楷体_GB2312" w:cs="Times New Roman"/>
          <w:b/>
          <w:bCs/>
          <w:sz w:val="32"/>
          <w:szCs w:val="32"/>
        </w:rPr>
      </w:pPr>
      <w:r>
        <w:rPr>
          <w:rFonts w:ascii="Times New Roman" w:hAnsi="Times New Roman" w:eastAsia="仿宋_GB2312" w:cs="Times New Roman"/>
          <w:sz w:val="32"/>
          <w:szCs w:val="32"/>
        </w:rPr>
        <w:t>加快农村地区电网升级改造。创新电力交易模式，鼓励电蓄热、储能企业与风电、光伏发电企业开展直接交易，健全输配电价体系等方式，认真贯彻执行自治区降低清洁供暖用电价格的相关政策，通过进一步降低清洁供暖用电成本，落实峰谷分时制度和阶梯价格制度，释放富余风电低价优势，推动电采暖发展。</w:t>
      </w:r>
      <w:r>
        <w:rPr>
          <w:rFonts w:ascii="Times New Roman" w:hAnsi="Times New Roman" w:eastAsia="楷体_GB2312" w:cs="Times New Roman"/>
          <w:b/>
          <w:bCs/>
          <w:sz w:val="32"/>
          <w:szCs w:val="32"/>
        </w:rPr>
        <w:t>（市发改委牵头；市经信委、国土局参与）</w:t>
      </w:r>
    </w:p>
    <w:p>
      <w:pPr>
        <w:adjustRightInd w:val="0"/>
        <w:snapToGrid w:val="0"/>
        <w:spacing w:line="600" w:lineRule="exact"/>
        <w:ind w:firstLine="643" w:firstLineChars="200"/>
        <w:outlineLvl w:val="1"/>
        <w:rPr>
          <w:rFonts w:ascii="Times New Roman" w:hAnsi="Times New Roman" w:eastAsia="楷体_GB2312" w:cs="Times New Roman"/>
          <w:b/>
          <w:bCs/>
          <w:sz w:val="32"/>
          <w:szCs w:val="32"/>
        </w:rPr>
      </w:pPr>
      <w:r>
        <w:rPr>
          <w:rFonts w:ascii="Times New Roman" w:hAnsi="Times New Roman" w:eastAsia="仿宋_GB2312" w:cs="Times New Roman"/>
          <w:b/>
          <w:sz w:val="32"/>
          <w:szCs w:val="32"/>
        </w:rPr>
        <w:t>8.开展燃煤综合整治。</w:t>
      </w:r>
      <w:r>
        <w:rPr>
          <w:rFonts w:ascii="Times New Roman" w:hAnsi="Times New Roman" w:eastAsia="仿宋_GB2312" w:cs="Times New Roman"/>
          <w:sz w:val="32"/>
          <w:szCs w:val="32"/>
        </w:rPr>
        <w:t>进一步加大燃煤小锅炉淘汰力度，全市各旗县区城镇（政府所在地）建成区基本淘汰每小时10蒸吨及以下燃煤锅炉及茶水炉、经营性炉灶、储粮烘干设备等燃煤设施，原则上不再新建每小时35蒸吨以下的燃煤锅炉，其他地区原则上不再新建每小时10蒸吨以下的燃煤锅炉。</w:t>
      </w:r>
      <w:r>
        <w:rPr>
          <w:rFonts w:ascii="Times New Roman" w:hAnsi="Times New Roman" w:eastAsia="楷体_GB2312" w:cs="Times New Roman"/>
          <w:b/>
          <w:bCs/>
          <w:sz w:val="32"/>
          <w:szCs w:val="32"/>
        </w:rPr>
        <w:t>（市环保局、住建委牵头；市发改委、经信委等参与）</w:t>
      </w:r>
    </w:p>
    <w:p>
      <w:pPr>
        <w:adjustRightInd w:val="0"/>
        <w:snapToGrid w:val="0"/>
        <w:spacing w:line="600" w:lineRule="exact"/>
        <w:ind w:firstLine="640" w:firstLineChars="200"/>
        <w:rPr>
          <w:rFonts w:ascii="Times New Roman" w:hAnsi="Times New Roman" w:eastAsia="楷体_GB2312" w:cs="Times New Roman"/>
          <w:b/>
          <w:bCs/>
          <w:sz w:val="32"/>
          <w:szCs w:val="32"/>
        </w:rPr>
      </w:pPr>
      <w:r>
        <w:rPr>
          <w:rFonts w:ascii="Times New Roman" w:hAnsi="Times New Roman" w:eastAsia="仿宋_GB2312" w:cs="Times New Roman"/>
          <w:sz w:val="32"/>
          <w:szCs w:val="32"/>
        </w:rPr>
        <w:t>各旗县区人民政府依法划定高污染燃料禁燃区范围。未划定的旗县区应尽快完成划定工作，细颗粒物连续两年未稳定达标的旗县区，应于2018年底前完成划定工作；已完成划定工作的旗县区，应切实加强高污染燃料禁燃区的管理，并根据大气环境质量改善要求，逐步扩大高污染燃料禁燃区范围。</w:t>
      </w:r>
      <w:r>
        <w:rPr>
          <w:rFonts w:ascii="Times New Roman" w:hAnsi="Times New Roman" w:eastAsia="楷体_GB2312" w:cs="Times New Roman"/>
          <w:b/>
          <w:bCs/>
          <w:sz w:val="32"/>
          <w:szCs w:val="32"/>
        </w:rPr>
        <w:t>（市环保局牵头；市发改委、经信委、住建委参与）</w:t>
      </w:r>
    </w:p>
    <w:p>
      <w:pPr>
        <w:adjustRightInd w:val="0"/>
        <w:snapToGrid w:val="0"/>
        <w:spacing w:line="600" w:lineRule="exact"/>
        <w:ind w:firstLine="640" w:firstLineChars="200"/>
        <w:rPr>
          <w:rFonts w:ascii="Times New Roman" w:hAnsi="Times New Roman" w:eastAsia="楷体_GB2312" w:cs="Times New Roman"/>
          <w:b/>
          <w:bCs/>
          <w:sz w:val="32"/>
          <w:szCs w:val="32"/>
        </w:rPr>
      </w:pPr>
      <w:r>
        <w:rPr>
          <w:rFonts w:ascii="Times New Roman" w:hAnsi="Times New Roman" w:eastAsia="仿宋_GB2312" w:cs="Times New Roman"/>
          <w:sz w:val="32"/>
          <w:szCs w:val="32"/>
        </w:rPr>
        <w:t>加大对纯凝机组和热电联产机组技术改造力度，加快供热管网建设，推进老旧管网改造，降低系统能耗，充分释放和提高供热能力，淘汰管网覆盖范围内的燃煤锅炉和散煤。在不具备热电联产集中供热条件的地区，现有多台燃煤小锅炉的，可按照等容量替代原则建设大容量燃煤锅炉。</w:t>
      </w:r>
      <w:r>
        <w:rPr>
          <w:rFonts w:ascii="Times New Roman" w:hAnsi="Times New Roman" w:eastAsia="楷体_GB2312" w:cs="Times New Roman"/>
          <w:b/>
          <w:bCs/>
          <w:sz w:val="32"/>
          <w:szCs w:val="32"/>
        </w:rPr>
        <w:t>（市住建委牵头；市发改委、环保局等参与）</w:t>
      </w:r>
    </w:p>
    <w:p>
      <w:pPr>
        <w:adjustRightInd w:val="0"/>
        <w:snapToGrid w:val="0"/>
        <w:spacing w:line="600" w:lineRule="exact"/>
        <w:ind w:firstLine="643" w:firstLineChars="200"/>
        <w:rPr>
          <w:rFonts w:ascii="Times New Roman" w:hAnsi="Times New Roman" w:eastAsia="楷体_GB2312" w:cs="Times New Roman"/>
          <w:b/>
          <w:sz w:val="32"/>
          <w:szCs w:val="32"/>
        </w:rPr>
      </w:pPr>
      <w:r>
        <w:rPr>
          <w:rFonts w:ascii="Times New Roman" w:hAnsi="Times New Roman" w:eastAsia="仿宋_GB2312" w:cs="Times New Roman"/>
          <w:b/>
          <w:sz w:val="32"/>
          <w:szCs w:val="32"/>
        </w:rPr>
        <w:t>9.提高能源利用效率。</w:t>
      </w:r>
      <w:r>
        <w:rPr>
          <w:rFonts w:ascii="Times New Roman" w:hAnsi="Times New Roman" w:eastAsia="仿宋_GB2312" w:cs="Times New Roman"/>
          <w:sz w:val="32"/>
          <w:szCs w:val="32"/>
        </w:rPr>
        <w:t>健全节能标准体系，大力开发、推广节能高效技术和产品，实现重点用能行业、设备节能标准全覆盖。规模化推广绿色建筑，到2020年底，绿色建筑占新建建筑的比例达到50%，新建建筑能效提升20%。深入推动供热计量改革，制定推进方案，加强新建建筑工程监管，加快推进既有居住建筑节能改造。</w:t>
      </w:r>
      <w:r>
        <w:rPr>
          <w:rFonts w:ascii="Times New Roman" w:hAnsi="Times New Roman" w:eastAsia="楷体_GB2312" w:cs="Times New Roman"/>
          <w:b/>
          <w:bCs/>
          <w:sz w:val="32"/>
          <w:szCs w:val="32"/>
        </w:rPr>
        <w:t>（市住建委、工商质监局牵头；市发改委、经信委等参与）</w:t>
      </w:r>
    </w:p>
    <w:p>
      <w:pPr>
        <w:pStyle w:val="3"/>
        <w:keepNext w:val="0"/>
        <w:keepLines w:val="0"/>
        <w:adjustRightInd w:val="0"/>
        <w:snapToGrid w:val="0"/>
        <w:spacing w:before="0" w:after="0" w:line="600" w:lineRule="exact"/>
        <w:ind w:firstLine="643" w:firstLineChars="200"/>
        <w:rPr>
          <w:rFonts w:ascii="Times New Roman" w:hAnsi="Times New Roman" w:eastAsia="楷体_GB2312"/>
        </w:rPr>
      </w:pPr>
      <w:r>
        <w:rPr>
          <w:rFonts w:ascii="Times New Roman" w:hAnsi="Times New Roman" w:eastAsia="仿宋_GB2312"/>
        </w:rPr>
        <w:t>10.发展清洁能源和新能源。</w:t>
      </w:r>
      <w:r>
        <w:rPr>
          <w:rFonts w:ascii="Times New Roman" w:hAnsi="Times New Roman" w:eastAsia="仿宋_GB2312"/>
          <w:b w:val="0"/>
          <w:bCs w:val="0"/>
        </w:rPr>
        <w:t>到2020年底，全市水电、风电、太阳能发电等非化石能源发电装机占全部发电装机的70%。有序推进风电和光伏发电项目</w:t>
      </w:r>
      <w:bookmarkStart w:id="12" w:name="OLE_LINK26"/>
      <w:bookmarkStart w:id="13" w:name="OLE_LINK27"/>
      <w:r>
        <w:rPr>
          <w:rFonts w:ascii="Times New Roman" w:hAnsi="Times New Roman" w:eastAsia="仿宋_GB2312"/>
          <w:b w:val="0"/>
          <w:bCs w:val="0"/>
        </w:rPr>
        <w:t>建设</w:t>
      </w:r>
      <w:bookmarkEnd w:id="12"/>
      <w:bookmarkEnd w:id="13"/>
      <w:r>
        <w:rPr>
          <w:rFonts w:ascii="Times New Roman" w:hAnsi="Times New Roman" w:eastAsia="仿宋_GB2312"/>
          <w:b w:val="0"/>
          <w:bCs w:val="0"/>
        </w:rPr>
        <w:t>，优化风能、太阳能开发布局。加大可再生能源消纳力度，基本解决弃风、弃光问题。到2020年底，全市消纳风电装机容量达到450万千瓦，光伏发电达到150万千瓦。</w:t>
      </w:r>
      <w:r>
        <w:rPr>
          <w:rFonts w:ascii="Times New Roman" w:hAnsi="Times New Roman" w:eastAsia="楷体_GB2312"/>
        </w:rPr>
        <w:t>（市发改委、经信委按职责负责）</w:t>
      </w:r>
    </w:p>
    <w:p>
      <w:pPr>
        <w:pStyle w:val="2"/>
        <w:keepNext w:val="0"/>
        <w:keepLines w:val="0"/>
        <w:adjustRightInd w:val="0"/>
        <w:snapToGrid w:val="0"/>
        <w:spacing w:before="0" w:after="0" w:line="600" w:lineRule="exact"/>
        <w:ind w:firstLine="643" w:firstLineChars="200"/>
        <w:rPr>
          <w:rFonts w:ascii="Times New Roman" w:hAnsi="Times New Roman" w:eastAsia="楷体_GB2312" w:cs="Times New Roman"/>
          <w:sz w:val="32"/>
          <w:szCs w:val="32"/>
        </w:rPr>
      </w:pPr>
      <w:bookmarkStart w:id="14" w:name="_Toc509575078"/>
      <w:r>
        <w:rPr>
          <w:rFonts w:ascii="Times New Roman" w:hAnsi="Times New Roman" w:eastAsia="楷体_GB2312" w:cs="Times New Roman"/>
          <w:sz w:val="32"/>
          <w:szCs w:val="32"/>
        </w:rPr>
        <w:t>（三）积极调整运输结构，发展绿色交通体系</w:t>
      </w:r>
    </w:p>
    <w:p>
      <w:pPr>
        <w:adjustRightInd w:val="0"/>
        <w:snapToGrid w:val="0"/>
        <w:spacing w:line="600" w:lineRule="exact"/>
        <w:ind w:firstLine="643" w:firstLineChars="200"/>
        <w:outlineLvl w:val="1"/>
        <w:rPr>
          <w:rFonts w:ascii="Times New Roman" w:hAnsi="Times New Roman" w:eastAsia="楷体" w:cs="Times New Roman"/>
          <w:b/>
          <w:sz w:val="32"/>
          <w:szCs w:val="32"/>
        </w:rPr>
      </w:pPr>
      <w:r>
        <w:rPr>
          <w:rFonts w:ascii="Times New Roman" w:hAnsi="Times New Roman" w:eastAsia="仿宋_GB2312" w:cs="Times New Roman"/>
          <w:b/>
          <w:sz w:val="32"/>
          <w:szCs w:val="32"/>
        </w:rPr>
        <w:t>11.优化交通运输结构。</w:t>
      </w:r>
      <w:r>
        <w:rPr>
          <w:rFonts w:ascii="Times New Roman" w:hAnsi="Times New Roman" w:eastAsia="仿宋_GB2312" w:cs="Times New Roman"/>
          <w:sz w:val="32"/>
          <w:szCs w:val="32"/>
        </w:rPr>
        <w:t>重点推动公路运输转铁路运输，充分利用既有铁路专用线能力，提高铁路货运比例，研究制定货物运输结构调整三年行动计划。加快钢铁、焦化、电力等重点企业铁路专用线建设。大力发展多式联运，建设城市绿色物流体系。优化交通道路网络布局，建设和完善智能化交通系统，提高道路通行效率和交通信息服务水平。大力发展公共交通，进一步提高公共交通出行分担率。</w:t>
      </w:r>
      <w:r>
        <w:rPr>
          <w:rFonts w:ascii="Times New Roman" w:hAnsi="Times New Roman" w:eastAsia="楷体_GB2312" w:cs="Times New Roman"/>
          <w:b/>
          <w:bCs/>
          <w:sz w:val="32"/>
          <w:szCs w:val="32"/>
        </w:rPr>
        <w:t>（市发改委、交通局、经信委牵头；市财政局、环保局参与）</w:t>
      </w:r>
    </w:p>
    <w:bookmarkEnd w:id="14"/>
    <w:p>
      <w:pPr>
        <w:adjustRightInd w:val="0"/>
        <w:snapToGrid w:val="0"/>
        <w:spacing w:line="600" w:lineRule="exact"/>
        <w:ind w:firstLine="643" w:firstLineChars="200"/>
        <w:outlineLvl w:val="1"/>
        <w:rPr>
          <w:rFonts w:ascii="Times New Roman" w:hAnsi="Times New Roman" w:eastAsia="楷体_GB2312" w:cs="Times New Roman"/>
          <w:b/>
          <w:bCs/>
          <w:sz w:val="32"/>
          <w:szCs w:val="32"/>
        </w:rPr>
      </w:pPr>
      <w:r>
        <w:rPr>
          <w:rFonts w:ascii="Times New Roman" w:hAnsi="Times New Roman" w:eastAsia="仿宋_GB2312" w:cs="Times New Roman"/>
          <w:b/>
          <w:sz w:val="32"/>
          <w:szCs w:val="32"/>
        </w:rPr>
        <w:t>12.推广新能源汽车使用。</w:t>
      </w:r>
      <w:r>
        <w:rPr>
          <w:rFonts w:ascii="Times New Roman" w:hAnsi="Times New Roman" w:eastAsia="仿宋_GB2312" w:cs="Times New Roman"/>
          <w:sz w:val="32"/>
          <w:szCs w:val="32"/>
        </w:rPr>
        <w:t>加快全市新能源汽车推广应用，有效缓解能源和环境压力。全市推广应用新能源汽车达到0.8万辆（标准车），每2000辆电动汽车应至少配套建设一座公共充电站，充换电基础设施建设基本完善，新建公共充电站不低于5个，新建各类充电桩不低于3000个。</w:t>
      </w:r>
      <w:r>
        <w:rPr>
          <w:rFonts w:ascii="Times New Roman" w:hAnsi="Times New Roman" w:eastAsia="楷体_GB2312" w:cs="Times New Roman"/>
          <w:b/>
          <w:bCs/>
          <w:sz w:val="32"/>
          <w:szCs w:val="32"/>
        </w:rPr>
        <w:t>（市经信委牵头；市发改委、科技局、公安局、财政局、交通局、住建委等参与）</w:t>
      </w:r>
    </w:p>
    <w:p>
      <w:pPr>
        <w:adjustRightInd w:val="0"/>
        <w:snapToGrid w:val="0"/>
        <w:spacing w:line="600" w:lineRule="exact"/>
        <w:ind w:firstLine="643" w:firstLineChars="200"/>
        <w:outlineLvl w:val="1"/>
        <w:rPr>
          <w:rFonts w:ascii="Times New Roman" w:hAnsi="Times New Roman" w:eastAsia="楷体_GB2312" w:cs="Times New Roman"/>
          <w:b/>
          <w:bCs/>
          <w:sz w:val="32"/>
          <w:szCs w:val="32"/>
        </w:rPr>
      </w:pPr>
      <w:r>
        <w:rPr>
          <w:rFonts w:ascii="Times New Roman" w:hAnsi="Times New Roman" w:eastAsia="仿宋_GB2312" w:cs="Times New Roman"/>
          <w:b/>
          <w:sz w:val="32"/>
          <w:szCs w:val="32"/>
        </w:rPr>
        <w:t>13.强化移动源源头防控。</w:t>
      </w:r>
      <w:r>
        <w:rPr>
          <w:rFonts w:ascii="Times New Roman" w:hAnsi="Times New Roman" w:eastAsia="仿宋_GB2312" w:cs="Times New Roman"/>
          <w:sz w:val="32"/>
          <w:szCs w:val="32"/>
        </w:rPr>
        <w:t>严格执行国家机动车排放标准有关规定，严厉打击销售排放不合格机动车和违反信息公开要求的行为。严格新车环保装置检验，在新车销售、检验、登记等场所开展环保装置抽查，随车清单载入机动车登记档案，保证新车环保装置生产一致性。逐步构建全市机动车超标排放信息数据库，实现全链条监管。</w:t>
      </w:r>
      <w:r>
        <w:rPr>
          <w:rFonts w:ascii="Times New Roman" w:hAnsi="Times New Roman" w:eastAsia="楷体_GB2312" w:cs="Times New Roman"/>
          <w:b/>
          <w:bCs/>
          <w:sz w:val="32"/>
          <w:szCs w:val="32"/>
        </w:rPr>
        <w:t>（市环保局、公安局、交通局牵头；市经信委、工商质监局、科技局、财政局参与）</w:t>
      </w:r>
    </w:p>
    <w:p>
      <w:pPr>
        <w:adjustRightInd w:val="0"/>
        <w:snapToGrid w:val="0"/>
        <w:spacing w:line="600" w:lineRule="exact"/>
        <w:ind w:firstLine="640" w:firstLineChars="200"/>
        <w:rPr>
          <w:rFonts w:ascii="Times New Roman" w:hAnsi="Times New Roman" w:eastAsia="楷体_GB2312" w:cs="Times New Roman"/>
          <w:b/>
          <w:bCs/>
          <w:sz w:val="32"/>
          <w:szCs w:val="32"/>
        </w:rPr>
      </w:pPr>
      <w:r>
        <w:rPr>
          <w:rFonts w:ascii="Times New Roman" w:hAnsi="Times New Roman" w:eastAsia="仿宋_GB2312" w:cs="Times New Roman"/>
          <w:sz w:val="32"/>
          <w:szCs w:val="32"/>
        </w:rPr>
        <w:t>加强油品质量监管，落实油品升级工作。到2019年1月1日起，全市供应符合国六标准的汽柴油，实现车用柴油、普通柴油和部分船用燃油“三油并轨”。严格经营许可审批，严厉打击生产、销售、使用假劣油品行为，禁止运输企业储存使用非标油，取缔黑加油站点。</w:t>
      </w:r>
      <w:r>
        <w:rPr>
          <w:rFonts w:ascii="Times New Roman" w:hAnsi="Times New Roman" w:eastAsia="楷体_GB2312" w:cs="Times New Roman"/>
          <w:b/>
          <w:bCs/>
          <w:sz w:val="32"/>
          <w:szCs w:val="32"/>
        </w:rPr>
        <w:t>（市商务局、工商质监局牵头；市财政局、公安局、交通局等参与）</w:t>
      </w:r>
    </w:p>
    <w:p>
      <w:pPr>
        <w:adjustRightInd w:val="0"/>
        <w:snapToGrid w:val="0"/>
        <w:spacing w:line="600" w:lineRule="exact"/>
        <w:ind w:firstLine="643" w:firstLineChars="200"/>
        <w:outlineLvl w:val="1"/>
        <w:rPr>
          <w:rFonts w:ascii="Times New Roman" w:hAnsi="Times New Roman" w:eastAsia="楷体_GB2312" w:cs="Times New Roman"/>
          <w:sz w:val="32"/>
          <w:szCs w:val="32"/>
        </w:rPr>
      </w:pPr>
      <w:r>
        <w:rPr>
          <w:rFonts w:ascii="Times New Roman" w:hAnsi="Times New Roman" w:eastAsia="仿宋_GB2312" w:cs="Times New Roman"/>
          <w:b/>
          <w:sz w:val="32"/>
          <w:szCs w:val="32"/>
        </w:rPr>
        <w:t>14.加强移动源污染治理。</w:t>
      </w:r>
      <w:r>
        <w:rPr>
          <w:rFonts w:ascii="Times New Roman" w:hAnsi="Times New Roman" w:eastAsia="仿宋_GB2312" w:cs="Times New Roman"/>
          <w:sz w:val="32"/>
          <w:szCs w:val="32"/>
        </w:rPr>
        <w:t>各旗县区制定营运柴油货车和燃气车辆提前淘汰更新目标及实施计划。推广使用达到国六排放标准的燃气车辆。推进老旧柴油车深度治理，具备条件的安装污染控制装置、配备实时排放监控终端，并与生态环境等有关部门联网，协同控制颗粒物和氮氧化物排放，稳定达标的可免于上线排放检验。推进柴油车车用尿素供应保障工作，并对尿素品质严格把关，确保柴油车尾气净化设备正常运行。建立完善“环境部门检测、公安交管部门处罚、交通运输部门督促维修”的联合监管机制。严厉打击机动车排放检验机构尾气检测弄虚作假行为。</w:t>
      </w:r>
      <w:r>
        <w:rPr>
          <w:rFonts w:ascii="Times New Roman" w:hAnsi="Times New Roman" w:eastAsia="楷体_GB2312" w:cs="Times New Roman"/>
          <w:b/>
          <w:bCs/>
          <w:sz w:val="32"/>
          <w:szCs w:val="32"/>
        </w:rPr>
        <w:t>（市公安局、交通局、环保局按职能职责牵头；市经信委、财政局、工商质监局等参与）</w:t>
      </w:r>
    </w:p>
    <w:p>
      <w:pPr>
        <w:adjustRightInd w:val="0"/>
        <w:snapToGrid w:val="0"/>
        <w:spacing w:line="600" w:lineRule="exact"/>
        <w:ind w:firstLine="640" w:firstLineChars="200"/>
        <w:rPr>
          <w:rFonts w:ascii="Times New Roman" w:hAnsi="Times New Roman" w:eastAsia="楷体_GB2312" w:cs="Times New Roman"/>
          <w:b/>
          <w:bCs/>
          <w:sz w:val="32"/>
          <w:szCs w:val="32"/>
        </w:rPr>
      </w:pPr>
      <w:r>
        <w:rPr>
          <w:rFonts w:ascii="Times New Roman" w:hAnsi="Times New Roman" w:eastAsia="仿宋_GB2312" w:cs="Times New Roman"/>
          <w:sz w:val="32"/>
          <w:szCs w:val="32"/>
        </w:rPr>
        <w:t>加大非道路移动源污染防治。按照源头管控、突出重点、分步实施的原则，全面启动非道路移动机械尾气排放监管工作。2019年，开展环保信息调查，要求空气质量不达标旗县区依法划定并公布禁止使用高排放非道路移动机械区域,严格管控高排放非道路移动机械。</w:t>
      </w:r>
      <w:r>
        <w:rPr>
          <w:rFonts w:ascii="Times New Roman" w:hAnsi="Times New Roman" w:eastAsia="楷体_GB2312" w:cs="Times New Roman"/>
          <w:b/>
          <w:bCs/>
          <w:sz w:val="32"/>
          <w:szCs w:val="32"/>
        </w:rPr>
        <w:t>（市环保局、交通局、农牧业局、住建委等按职责负责）</w:t>
      </w:r>
    </w:p>
    <w:p>
      <w:pPr>
        <w:pStyle w:val="2"/>
        <w:keepNext w:val="0"/>
        <w:keepLines w:val="0"/>
        <w:adjustRightInd w:val="0"/>
        <w:snapToGrid w:val="0"/>
        <w:spacing w:before="0" w:after="0" w:line="600" w:lineRule="exact"/>
        <w:ind w:firstLine="643"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（四）优化调整用地结构，推进面源污染治理</w:t>
      </w:r>
    </w:p>
    <w:p>
      <w:pPr>
        <w:adjustRightInd w:val="0"/>
        <w:snapToGrid w:val="0"/>
        <w:spacing w:line="600" w:lineRule="exact"/>
        <w:ind w:firstLine="643" w:firstLineChars="200"/>
        <w:outlineLvl w:val="1"/>
        <w:rPr>
          <w:rFonts w:ascii="Times New Roman" w:hAnsi="Times New Roman" w:eastAsia="楷体_GB2312" w:cs="Times New Roman"/>
          <w:b/>
          <w:sz w:val="32"/>
          <w:szCs w:val="32"/>
        </w:rPr>
      </w:pPr>
      <w:r>
        <w:rPr>
          <w:rFonts w:ascii="Times New Roman" w:hAnsi="Times New Roman" w:eastAsia="仿宋_GB2312" w:cs="Times New Roman"/>
          <w:b/>
          <w:sz w:val="32"/>
          <w:szCs w:val="32"/>
        </w:rPr>
        <w:t>15.实施防风固沙绿化工程。</w:t>
      </w:r>
      <w:r>
        <w:rPr>
          <w:rFonts w:ascii="Times New Roman" w:hAnsi="Times New Roman" w:eastAsia="仿宋_GB2312" w:cs="Times New Roman"/>
          <w:sz w:val="32"/>
          <w:szCs w:val="32"/>
        </w:rPr>
        <w:t>建设北方重要生态安全屏障，重点加强天然林资源保护、退耕还林、京津风沙源治理和草原保护，加大牧区后续产业基础设施建设。推广保护性耕作、林间覆盖等方式，抑制季节性裸地农田扬尘。加大全市城镇园林绿化建设，提高公园绿地服务半径覆盖率，达到300米见绿、500米见园；积极推进城市环城绿带、区域绿道网、城市生态廊道的建设与发展；结合旧城改造，加强城市中心区、老城区等薄弱地区的园林绿化建设。到2020年底，城市建成区绿地率力争达到35%。</w:t>
      </w:r>
      <w:r>
        <w:rPr>
          <w:rFonts w:ascii="Times New Roman" w:hAnsi="Times New Roman" w:eastAsia="楷体_GB2312" w:cs="Times New Roman"/>
          <w:b/>
          <w:bCs/>
          <w:sz w:val="32"/>
          <w:szCs w:val="32"/>
        </w:rPr>
        <w:t>（市林业局、住建委、国土局牵头；市农牧业局参与）</w:t>
      </w:r>
    </w:p>
    <w:p>
      <w:pPr>
        <w:adjustRightInd w:val="0"/>
        <w:snapToGrid w:val="0"/>
        <w:spacing w:line="600" w:lineRule="exact"/>
        <w:ind w:firstLine="643" w:firstLineChars="200"/>
        <w:outlineLvl w:val="1"/>
        <w:rPr>
          <w:rFonts w:ascii="Times New Roman" w:hAnsi="Times New Roman" w:eastAsia="楷体_GB2312" w:cs="Times New Roman"/>
          <w:b/>
          <w:sz w:val="32"/>
          <w:szCs w:val="32"/>
        </w:rPr>
      </w:pPr>
      <w:r>
        <w:rPr>
          <w:rFonts w:ascii="Times New Roman" w:hAnsi="Times New Roman" w:eastAsia="仿宋_GB2312" w:cs="Times New Roman"/>
          <w:b/>
          <w:sz w:val="32"/>
          <w:szCs w:val="32"/>
        </w:rPr>
        <w:t>16.加强露天矿区综合整治。</w:t>
      </w:r>
      <w:r>
        <w:rPr>
          <w:rFonts w:ascii="Times New Roman" w:hAnsi="Times New Roman" w:eastAsia="仿宋_GB2312" w:cs="Times New Roman"/>
          <w:sz w:val="32"/>
          <w:szCs w:val="32"/>
        </w:rPr>
        <w:t>严格实施矿产资源开发环境影响评价，全面建设绿色矿山。按照《内蒙古自治区绿色矿山建设方案》，2018年，对新设立矿山执行绿色矿山标准建设，生产矿山限期达到绿色矿山建设标准，不符合绿色矿山标准的矿山企业要逐步退出市场。开展露天矿山综合整治，全面完成露天开采矿山摸底排查，对违反资源环境法律法规，污染环境、破坏生态、乱采滥挖的露天矿山，依法予以关闭。强化历史遗留矿山生态修复，采取工程、生物措施，加大矿山地质环境修复治理和地质环境综合整治力度；强化矿山开采、储存、装卸、运输过程的污染防治，确保扬尘达标排放。加大煤田自燃治理，科学开展灭火工作，无主着火点应由矿区所在地人民政府负责组织灭火。矿区内有火区的，要先灭火后固化，对已经完成治理的火点，要定期巡查，防止复燃。</w:t>
      </w:r>
      <w:r>
        <w:rPr>
          <w:rFonts w:ascii="Times New Roman" w:hAnsi="Times New Roman" w:eastAsia="楷体_GB2312" w:cs="Times New Roman"/>
          <w:b/>
          <w:bCs/>
          <w:sz w:val="32"/>
          <w:szCs w:val="32"/>
        </w:rPr>
        <w:t>（市国土局牵头；市环保局、经信委等参与）</w:t>
      </w:r>
    </w:p>
    <w:p>
      <w:pPr>
        <w:adjustRightInd w:val="0"/>
        <w:snapToGrid w:val="0"/>
        <w:spacing w:line="600" w:lineRule="exact"/>
        <w:ind w:firstLine="643" w:firstLineChars="200"/>
        <w:outlineLvl w:val="1"/>
        <w:rPr>
          <w:rFonts w:ascii="Times New Roman" w:hAnsi="Times New Roman" w:eastAsia="楷体_GB2312" w:cs="Times New Roman"/>
          <w:b/>
          <w:bCs/>
          <w:sz w:val="32"/>
          <w:szCs w:val="32"/>
        </w:rPr>
      </w:pPr>
      <w:r>
        <w:rPr>
          <w:rFonts w:ascii="Times New Roman" w:hAnsi="Times New Roman" w:eastAsia="仿宋_GB2312" w:cs="Times New Roman"/>
          <w:b/>
          <w:sz w:val="32"/>
          <w:szCs w:val="32"/>
        </w:rPr>
        <w:t>17.加强扬尘综合治理。</w:t>
      </w:r>
      <w:r>
        <w:rPr>
          <w:rFonts w:ascii="Times New Roman" w:hAnsi="Times New Roman" w:eastAsia="仿宋_GB2312" w:cs="Times New Roman"/>
          <w:sz w:val="32"/>
          <w:szCs w:val="32"/>
        </w:rPr>
        <w:t>严格施工扬尘监管。到2018年底，各旗县区建立施工工地管理清单。将施工工地扬尘污染防治纳入建筑施工安全生产标准化文明施工管理范畴，建立扬尘控制责任制度，治理费用列入工程造价。各旗县区城镇建成区各类工地要做到工地周边围挡、材料堆放覆盖、土方开挖湿法作业、路面硬化、出入车辆清洗、渣土车辆密闭运输“六个百分之百”。大力推广装配式建筑。到2020年底，地级及以上城市建成区道路机械化清扫率达到70%，县城达到60%。加强道路养护工程管理，对因道路开挖造成的临时绕行道路，加强抑尘管控。</w:t>
      </w:r>
      <w:r>
        <w:rPr>
          <w:rFonts w:ascii="Times New Roman" w:hAnsi="Times New Roman" w:eastAsia="楷体_GB2312" w:cs="Times New Roman"/>
          <w:b/>
          <w:bCs/>
          <w:sz w:val="32"/>
          <w:szCs w:val="32"/>
        </w:rPr>
        <w:t>（市住建委、交通局牵头；市环保局参与）</w:t>
      </w:r>
    </w:p>
    <w:p>
      <w:pPr>
        <w:adjustRightInd w:val="0"/>
        <w:snapToGrid w:val="0"/>
        <w:spacing w:line="600" w:lineRule="exact"/>
        <w:ind w:firstLine="643" w:firstLineChars="200"/>
        <w:outlineLvl w:val="1"/>
        <w:rPr>
          <w:rFonts w:ascii="Times New Roman" w:hAnsi="Times New Roman" w:eastAsia="楷体_GB2312" w:cs="Times New Roman"/>
          <w:b/>
          <w:bCs/>
          <w:sz w:val="32"/>
          <w:szCs w:val="32"/>
        </w:rPr>
      </w:pPr>
      <w:bookmarkStart w:id="15" w:name="_Toc509575101"/>
      <w:r>
        <w:rPr>
          <w:rFonts w:ascii="Times New Roman" w:hAnsi="Times New Roman" w:eastAsia="仿宋_GB2312" w:cs="Times New Roman"/>
          <w:b/>
          <w:sz w:val="32"/>
          <w:szCs w:val="32"/>
        </w:rPr>
        <w:t>18.禁止秸秆露天焚烧</w:t>
      </w:r>
      <w:bookmarkEnd w:id="15"/>
      <w:r>
        <w:rPr>
          <w:rFonts w:ascii="Times New Roman" w:hAnsi="Times New Roman" w:eastAsia="仿宋_GB2312" w:cs="Times New Roman"/>
          <w:b/>
          <w:sz w:val="32"/>
          <w:szCs w:val="32"/>
        </w:rPr>
        <w:t>和控制农业氨排放。</w:t>
      </w:r>
      <w:r>
        <w:rPr>
          <w:rFonts w:ascii="Times New Roman" w:hAnsi="Times New Roman" w:eastAsia="仿宋_GB2312" w:cs="Times New Roman"/>
          <w:sz w:val="32"/>
          <w:szCs w:val="32"/>
        </w:rPr>
        <w:t>全面推行秸秆肥料化、饲料化、能源化、原料化利用等综合利用措施，探索秸秆利用规模化、专业化、产业化运营模式。到2020年底，秸秆综合利用率超过85%。禁止农作物秸秆等生物质及其他废弃物违规露天焚烧。强化各级政府秸秆禁烧主体责任，各旗县区、苏木乡镇、嘎查村强化网络化监管措施，落实禁烧工作目标，健全责任追究制度，严格考核和责任追究。在春耕和秋收阶段开展秸秆禁烧专项巡查。</w:t>
      </w:r>
      <w:r>
        <w:rPr>
          <w:rFonts w:ascii="Times New Roman" w:hAnsi="Times New Roman" w:eastAsia="楷体_GB2312" w:cs="Times New Roman"/>
          <w:b/>
          <w:bCs/>
          <w:sz w:val="32"/>
          <w:szCs w:val="32"/>
        </w:rPr>
        <w:t>（市农牧业局、发改委、环保局等按职责负责）</w:t>
      </w:r>
    </w:p>
    <w:p>
      <w:pPr>
        <w:autoSpaceDE w:val="0"/>
        <w:autoSpaceDN w:val="0"/>
        <w:adjustRightInd w:val="0"/>
        <w:snapToGrid w:val="0"/>
        <w:spacing w:line="600" w:lineRule="exact"/>
        <w:ind w:firstLine="640" w:firstLineChars="200"/>
        <w:jc w:val="left"/>
        <w:rPr>
          <w:rFonts w:ascii="Times New Roman" w:hAnsi="Times New Roman" w:eastAsia="楷体_GB2312" w:cs="Times New Roman"/>
          <w:b/>
          <w:bCs/>
          <w:sz w:val="32"/>
          <w:szCs w:val="32"/>
        </w:rPr>
      </w:pPr>
      <w:r>
        <w:rPr>
          <w:rFonts w:ascii="Times New Roman" w:hAnsi="Times New Roman" w:eastAsia="仿宋_GB2312" w:cs="Times New Roman"/>
          <w:sz w:val="32"/>
          <w:szCs w:val="32"/>
        </w:rPr>
        <w:t>加大农业源氨的排放控制力度，减少化肥农药使用量，增加有机肥使用量，实现化肥农药使用量零增长。提高化肥利用率，强化畜禽粪污资源化利用，改善养殖场通风环境，减少氨挥发排放。</w:t>
      </w:r>
      <w:r>
        <w:rPr>
          <w:rFonts w:ascii="Times New Roman" w:hAnsi="Times New Roman" w:eastAsia="楷体_GB2312" w:cs="Times New Roman"/>
          <w:b/>
          <w:bCs/>
          <w:sz w:val="32"/>
          <w:szCs w:val="32"/>
        </w:rPr>
        <w:t>（市农牧业局牵头；市环保局参与）</w:t>
      </w:r>
    </w:p>
    <w:p>
      <w:pPr>
        <w:pStyle w:val="2"/>
        <w:keepNext w:val="0"/>
        <w:keepLines w:val="0"/>
        <w:adjustRightInd w:val="0"/>
        <w:snapToGrid w:val="0"/>
        <w:spacing w:before="0" w:after="0" w:line="600" w:lineRule="exact"/>
        <w:ind w:firstLine="643"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（五）实施重大专项行动，严格环境执法督察</w:t>
      </w:r>
    </w:p>
    <w:p>
      <w:pPr>
        <w:autoSpaceDE w:val="0"/>
        <w:autoSpaceDN w:val="0"/>
        <w:adjustRightInd w:val="0"/>
        <w:snapToGrid w:val="0"/>
        <w:spacing w:line="600" w:lineRule="exact"/>
        <w:ind w:firstLine="643" w:firstLineChars="200"/>
        <w:outlineLvl w:val="1"/>
        <w:rPr>
          <w:rFonts w:ascii="Times New Roman" w:hAnsi="Times New Roman" w:eastAsia="黑体" w:cs="Times New Roman"/>
          <w:sz w:val="32"/>
        </w:rPr>
      </w:pPr>
      <w:r>
        <w:rPr>
          <w:rFonts w:ascii="Times New Roman" w:hAnsi="Times New Roman" w:eastAsia="仿宋_GB2312" w:cs="Times New Roman"/>
          <w:b/>
          <w:sz w:val="32"/>
          <w:szCs w:val="32"/>
        </w:rPr>
        <w:t>19.开展污染防治专项整治行动。</w:t>
      </w:r>
      <w:r>
        <w:rPr>
          <w:rFonts w:ascii="Times New Roman" w:hAnsi="Times New Roman" w:eastAsia="仿宋_GB2312" w:cs="Times New Roman"/>
          <w:sz w:val="32"/>
          <w:szCs w:val="32"/>
        </w:rPr>
        <w:t>严格环境专项执法检查，制定散煤、工业炉窑、挥发性有机物、柴油货车等一系列专项整治方案，开展污染防治专项整治行动，解决突出大气环境问题。完善部门联动的环保专项行动工作机制，确保行政执法、行政问责、刑事司法有序衔接。到2020年底，城市建成区基本实现散煤替代和清洁利用，VOCs排放总量较2015年下降10%以上。</w:t>
      </w:r>
      <w:r>
        <w:rPr>
          <w:rFonts w:ascii="Times New Roman" w:hAnsi="Times New Roman" w:eastAsia="楷体_GB2312" w:cs="Times New Roman"/>
          <w:b/>
          <w:bCs/>
          <w:sz w:val="32"/>
          <w:szCs w:val="32"/>
        </w:rPr>
        <w:t>（市环保局、经信委、住建委、公安局按职能职责牵头；市交通局、工商质监局参与）</w:t>
      </w:r>
    </w:p>
    <w:p>
      <w:pPr>
        <w:adjustRightInd w:val="0"/>
        <w:snapToGrid w:val="0"/>
        <w:spacing w:line="600" w:lineRule="exact"/>
        <w:ind w:firstLine="643" w:firstLineChars="200"/>
        <w:outlineLvl w:val="1"/>
        <w:rPr>
          <w:rFonts w:ascii="Times New Roman" w:hAnsi="Times New Roman" w:eastAsia="楷体_GB2312" w:cs="Times New Roman"/>
          <w:b/>
          <w:bCs/>
          <w:sz w:val="32"/>
          <w:szCs w:val="32"/>
        </w:rPr>
      </w:pPr>
      <w:r>
        <w:rPr>
          <w:rFonts w:ascii="Times New Roman" w:hAnsi="Times New Roman" w:eastAsia="仿宋_GB2312" w:cs="Times New Roman"/>
          <w:b/>
          <w:sz w:val="32"/>
          <w:szCs w:val="32"/>
        </w:rPr>
        <w:t>20.强化环境保护督察。</w:t>
      </w:r>
      <w:r>
        <w:rPr>
          <w:rFonts w:ascii="Times New Roman" w:hAnsi="Times New Roman" w:eastAsia="仿宋_GB2312" w:cs="Times New Roman"/>
          <w:sz w:val="32"/>
          <w:szCs w:val="32"/>
        </w:rPr>
        <w:t>按照中央环境保护督察以及“回头看”反馈意见从严从实整改，全面开展我市环境保护督察，实现对各旗县区督察全覆盖，推动各地加快解决辖区内突出环境问题。创新环境监管方式，实行网格化管理、“双随机”抽查、驻地督办的执法方式。建立完善排查、交办、核查、约谈、专项督察“五步法”监管机制。对违规建设项目和超标排污企业依法采取限产、停产整治等措施，涉嫌环境犯罪的，依法追究刑事责任。</w:t>
      </w:r>
      <w:r>
        <w:rPr>
          <w:rFonts w:ascii="Times New Roman" w:hAnsi="Times New Roman" w:eastAsia="楷体_GB2312" w:cs="Times New Roman"/>
          <w:b/>
          <w:bCs/>
          <w:sz w:val="32"/>
          <w:szCs w:val="32"/>
        </w:rPr>
        <w:t>（市环保局牵头；市公安局等参与）</w:t>
      </w:r>
    </w:p>
    <w:p>
      <w:pPr>
        <w:adjustRightInd w:val="0"/>
        <w:snapToGrid w:val="0"/>
        <w:spacing w:line="600" w:lineRule="exact"/>
        <w:ind w:firstLine="643" w:firstLineChars="200"/>
        <w:outlineLvl w:val="1"/>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（六）有效应对重污染天气</w:t>
      </w:r>
    </w:p>
    <w:p>
      <w:pPr>
        <w:adjustRightInd w:val="0"/>
        <w:snapToGrid w:val="0"/>
        <w:spacing w:line="600" w:lineRule="exact"/>
        <w:ind w:firstLine="643" w:firstLineChars="200"/>
        <w:outlineLvl w:val="1"/>
        <w:rPr>
          <w:rFonts w:ascii="Times New Roman" w:hAnsi="Times New Roman" w:eastAsia="黑体" w:cs="Times New Roman"/>
          <w:sz w:val="32"/>
        </w:rPr>
      </w:pPr>
      <w:r>
        <w:rPr>
          <w:rFonts w:ascii="Times New Roman" w:hAnsi="Times New Roman" w:eastAsia="仿宋_GB2312" w:cs="Times New Roman"/>
          <w:b/>
          <w:sz w:val="32"/>
          <w:szCs w:val="32"/>
        </w:rPr>
        <w:t>21.加强重污染天气应急联动。</w:t>
      </w:r>
      <w:r>
        <w:rPr>
          <w:rFonts w:ascii="Times New Roman" w:hAnsi="Times New Roman" w:eastAsia="仿宋_GB2312" w:cs="Times New Roman"/>
          <w:sz w:val="32"/>
          <w:szCs w:val="32"/>
        </w:rPr>
        <w:t>开展空气质量中长期趋势预测工作。完善重度及以上污染天气的区域联合预警机制，加强各级环保与气象部门业务合作和信息共享。当预测到区域将出现大范围重污染天气时，统一发布预警信息，各相关城市按级别启动应急响应措施，实施区域应急联动。</w:t>
      </w:r>
      <w:r>
        <w:rPr>
          <w:rFonts w:ascii="Times New Roman" w:hAnsi="Times New Roman" w:eastAsia="楷体_GB2312" w:cs="Times New Roman"/>
          <w:b/>
          <w:bCs/>
          <w:sz w:val="32"/>
          <w:szCs w:val="32"/>
        </w:rPr>
        <w:t>（市环保局、气象局牵头）</w:t>
      </w:r>
    </w:p>
    <w:p>
      <w:pPr>
        <w:adjustRightInd w:val="0"/>
        <w:snapToGrid w:val="0"/>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仿宋_GB2312" w:cs="Times New Roman"/>
          <w:b/>
          <w:sz w:val="32"/>
          <w:szCs w:val="32"/>
        </w:rPr>
        <w:t>22.夯实应急减排措施。</w:t>
      </w:r>
      <w:r>
        <w:rPr>
          <w:rFonts w:ascii="Times New Roman" w:hAnsi="Times New Roman" w:eastAsia="仿宋_GB2312" w:cs="Times New Roman"/>
          <w:sz w:val="32"/>
          <w:szCs w:val="32"/>
        </w:rPr>
        <w:t>加强对预案实施情况的检查和评估，各旗县区应编制重污染天气应急预案。明确辖区内重污染天气期间停产、限产、限排生产企业清单，细化应急减排措施，落实到企业各工艺环节，落实到具体生产线和责任人，实施“一厂一策”清单化管理。重污染天气预警期间，对钢铁、焦化、有色、煤矿和矿石等涉及大宗原材料及产品运输的重点用车企业，实施错峰运输。</w:t>
      </w:r>
      <w:r>
        <w:rPr>
          <w:rFonts w:ascii="Times New Roman" w:hAnsi="Times New Roman" w:eastAsia="楷体_GB2312" w:cs="Times New Roman"/>
          <w:b/>
          <w:bCs/>
          <w:sz w:val="32"/>
          <w:szCs w:val="32"/>
        </w:rPr>
        <w:t>（市环保局、经信委牵头；市交通局、安监局参与）</w:t>
      </w:r>
    </w:p>
    <w:bookmarkEnd w:id="11"/>
    <w:p>
      <w:pPr>
        <w:adjustRightInd w:val="0"/>
        <w:snapToGrid w:val="0"/>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（七）加强基础能力建设，强化经济政策支撑</w:t>
      </w:r>
    </w:p>
    <w:p>
      <w:pPr>
        <w:adjustRightInd w:val="0"/>
        <w:snapToGrid w:val="0"/>
        <w:spacing w:line="600" w:lineRule="exact"/>
        <w:ind w:firstLine="643" w:firstLineChars="200"/>
        <w:outlineLvl w:val="1"/>
        <w:rPr>
          <w:rFonts w:ascii="Times New Roman" w:hAnsi="Times New Roman" w:eastAsia="楷体_GB2312" w:cs="Times New Roman"/>
          <w:b/>
          <w:bCs/>
          <w:sz w:val="32"/>
          <w:szCs w:val="32"/>
        </w:rPr>
      </w:pPr>
      <w:r>
        <w:rPr>
          <w:rFonts w:ascii="Times New Roman" w:hAnsi="Times New Roman" w:eastAsia="仿宋_GB2312" w:cs="Times New Roman"/>
          <w:b/>
          <w:sz w:val="32"/>
          <w:szCs w:val="32"/>
        </w:rPr>
        <w:t>23.完善环境监测监控网络。</w:t>
      </w:r>
      <w:r>
        <w:rPr>
          <w:rFonts w:ascii="Times New Roman" w:hAnsi="Times New Roman" w:eastAsia="仿宋_GB2312" w:cs="Times New Roman"/>
          <w:sz w:val="32"/>
          <w:szCs w:val="32"/>
        </w:rPr>
        <w:t>加强环境空气质量监测，优化调整国控站点。加强各旗县区环境空气质量自动监测网络建设，到2020年底，各旗县区实现监测站点全覆盖，并与中国环境监测总站实现数据直联。重点工业园区设置自动监测站点。臭氧污染严重的旗县区，开展VOCs监测。</w:t>
      </w:r>
      <w:r>
        <w:rPr>
          <w:rFonts w:ascii="Times New Roman" w:hAnsi="Times New Roman" w:eastAsia="楷体_GB2312" w:cs="Times New Roman"/>
          <w:b/>
          <w:bCs/>
          <w:sz w:val="32"/>
          <w:szCs w:val="32"/>
        </w:rPr>
        <w:t>（市环保局牵头）</w:t>
      </w:r>
    </w:p>
    <w:p>
      <w:pPr>
        <w:adjustRightInd w:val="0"/>
        <w:snapToGrid w:val="0"/>
        <w:spacing w:line="600" w:lineRule="exact"/>
        <w:ind w:firstLine="640" w:firstLineChars="200"/>
        <w:rPr>
          <w:rFonts w:ascii="Times New Roman" w:hAnsi="Times New Roman" w:eastAsia="楷体_GB2312" w:cs="Times New Roman"/>
          <w:b/>
          <w:bCs/>
          <w:sz w:val="32"/>
          <w:szCs w:val="32"/>
        </w:rPr>
      </w:pPr>
      <w:r>
        <w:rPr>
          <w:rFonts w:ascii="Times New Roman" w:hAnsi="Times New Roman" w:eastAsia="仿宋_GB2312" w:cs="Times New Roman"/>
          <w:sz w:val="32"/>
          <w:szCs w:val="32"/>
        </w:rPr>
        <w:t>强化重点污染源自动监控体系建设。将排气口高度超过45米的高架源，以及石化、化工、包装印刷、工业涂装等VOCs排放重点源，纳入重点排污单位名录。到2020年底，全市重点污染源安装烟气排放自动监控设施基本完成。</w:t>
      </w:r>
      <w:r>
        <w:rPr>
          <w:rFonts w:ascii="Times New Roman" w:hAnsi="Times New Roman" w:eastAsia="楷体_GB2312" w:cs="Times New Roman"/>
          <w:b/>
          <w:bCs/>
          <w:sz w:val="32"/>
          <w:szCs w:val="32"/>
        </w:rPr>
        <w:t>（市环保局牵头）</w:t>
      </w:r>
    </w:p>
    <w:p>
      <w:pPr>
        <w:adjustRightInd w:val="0"/>
        <w:snapToGrid w:val="0"/>
        <w:spacing w:line="600" w:lineRule="exact"/>
        <w:ind w:firstLine="640" w:firstLineChars="200"/>
        <w:rPr>
          <w:rFonts w:ascii="Times New Roman" w:hAnsi="Times New Roman" w:eastAsia="楷体_GB2312" w:cs="Times New Roman"/>
          <w:b/>
          <w:bCs/>
          <w:sz w:val="32"/>
          <w:szCs w:val="32"/>
        </w:rPr>
      </w:pPr>
      <w:r>
        <w:rPr>
          <w:rFonts w:ascii="Times New Roman" w:hAnsi="Times New Roman" w:eastAsia="仿宋_GB2312" w:cs="Times New Roman"/>
          <w:sz w:val="32"/>
          <w:szCs w:val="32"/>
        </w:rPr>
        <w:t>构建机动车遥感监测体系。加快推进全市机动车遥感监测平台建设与联网工作，强化区域联防联控，尽快开展机动车遥感监测工作。到2019年底，基本建成覆盖全市的国家、自治区、盟市三级联网遥感监测网络体系，实现机动车排放大数据的互联互通和共管共享。</w:t>
      </w:r>
      <w:r>
        <w:rPr>
          <w:rFonts w:ascii="Times New Roman" w:hAnsi="Times New Roman" w:eastAsia="楷体_GB2312" w:cs="Times New Roman"/>
          <w:b/>
          <w:bCs/>
          <w:sz w:val="32"/>
          <w:szCs w:val="32"/>
        </w:rPr>
        <w:t>（市环保局牵头；市公安局、交通局、科技局等参与）</w:t>
      </w:r>
    </w:p>
    <w:p>
      <w:pPr>
        <w:adjustRightInd w:val="0"/>
        <w:snapToGrid w:val="0"/>
        <w:spacing w:line="600" w:lineRule="exact"/>
        <w:ind w:firstLine="640" w:firstLineChars="200"/>
        <w:rPr>
          <w:rFonts w:ascii="Times New Roman" w:hAnsi="Times New Roman" w:eastAsia="楷体_GB2312" w:cs="Times New Roman"/>
          <w:b/>
          <w:bCs/>
          <w:sz w:val="32"/>
          <w:szCs w:val="32"/>
        </w:rPr>
      </w:pPr>
      <w:r>
        <w:rPr>
          <w:rFonts w:ascii="Times New Roman" w:hAnsi="Times New Roman" w:eastAsia="仿宋_GB2312" w:cs="Times New Roman"/>
          <w:sz w:val="32"/>
          <w:szCs w:val="32"/>
        </w:rPr>
        <w:t>强化监测数据质量控制。市级和旗县区级各类开发区自动监测站点运维全部上收到自治区级环境监测部门。按照国家部署，通过监督检查、能力验证、比对核查等方式加强对社会环境监测和运维机构监管，建立“谁出数谁负责、谁签字谁负责”的责任追溯制度。开展环境监测数据质量监督检查专项行动，严厉惩处监测数据弄虚作假行为。对地方不当干预监测行为的，监测机构运行维护不到位及篡改、伪造、干扰监测数据的，排污单位弄虚作假的，依纪依法从严查处，追究责任。</w:t>
      </w:r>
      <w:r>
        <w:rPr>
          <w:rFonts w:ascii="Times New Roman" w:hAnsi="Times New Roman" w:eastAsia="楷体_GB2312" w:cs="Times New Roman"/>
          <w:b/>
          <w:bCs/>
          <w:sz w:val="32"/>
          <w:szCs w:val="32"/>
        </w:rPr>
        <w:t>（市环保局牵头；市工商质监局参与）</w:t>
      </w:r>
    </w:p>
    <w:p>
      <w:pPr>
        <w:adjustRightInd w:val="0"/>
        <w:snapToGrid w:val="0"/>
        <w:spacing w:line="600" w:lineRule="exact"/>
        <w:ind w:firstLine="643" w:firstLineChars="200"/>
        <w:outlineLvl w:val="1"/>
        <w:rPr>
          <w:rFonts w:ascii="Times New Roman" w:hAnsi="Times New Roman" w:eastAsia="楷体_GB2312" w:cs="Times New Roman"/>
          <w:b/>
          <w:bCs/>
          <w:sz w:val="32"/>
          <w:szCs w:val="32"/>
        </w:rPr>
      </w:pPr>
      <w:r>
        <w:rPr>
          <w:rFonts w:ascii="Times New Roman" w:hAnsi="Times New Roman" w:eastAsia="仿宋_GB2312" w:cs="Times New Roman"/>
          <w:b/>
          <w:sz w:val="32"/>
          <w:szCs w:val="32"/>
        </w:rPr>
        <w:t>24.强化科技基础支撑。</w:t>
      </w:r>
      <w:r>
        <w:rPr>
          <w:rFonts w:ascii="Times New Roman" w:hAnsi="Times New Roman" w:eastAsia="仿宋_GB2312" w:cs="Times New Roman"/>
          <w:sz w:val="32"/>
          <w:szCs w:val="32"/>
        </w:rPr>
        <w:t>组织开展源解析工作，逐步建立全市大气污染源排放清单并实现动态更新。抓紧开展臭氧、雾霾污染的生成机理和应对策略研究，科学有效地指导污染防控工作。加强VOCs治理、矿山生态环境综合整治等先进适用技术的研发与应用，建设一批污染治理示范工程。</w:t>
      </w:r>
      <w:r>
        <w:rPr>
          <w:rFonts w:ascii="Times New Roman" w:hAnsi="Times New Roman" w:eastAsia="楷体_GB2312" w:cs="Times New Roman"/>
          <w:b/>
          <w:bCs/>
          <w:sz w:val="32"/>
          <w:szCs w:val="32"/>
        </w:rPr>
        <w:t>（市科技局、环保局牵头；市发改委、经信委、国土局、气象局等参与）</w:t>
      </w:r>
    </w:p>
    <w:p>
      <w:pPr>
        <w:adjustRightInd w:val="0"/>
        <w:snapToGrid w:val="0"/>
        <w:spacing w:line="600" w:lineRule="exact"/>
        <w:ind w:firstLine="643" w:firstLineChars="200"/>
        <w:outlineLvl w:val="1"/>
        <w:rPr>
          <w:rFonts w:ascii="Times New Roman" w:hAnsi="Times New Roman" w:eastAsia="楷体" w:cs="Times New Roman"/>
          <w:b/>
          <w:sz w:val="32"/>
          <w:szCs w:val="32"/>
        </w:rPr>
      </w:pPr>
      <w:bookmarkStart w:id="16" w:name="_Toc509575114"/>
      <w:r>
        <w:rPr>
          <w:rFonts w:ascii="Times New Roman" w:hAnsi="Times New Roman" w:eastAsia="仿宋_GB2312" w:cs="Times New Roman"/>
          <w:b/>
          <w:sz w:val="32"/>
          <w:szCs w:val="32"/>
        </w:rPr>
        <w:t>25.加大资金投入</w:t>
      </w:r>
      <w:bookmarkEnd w:id="16"/>
      <w:r>
        <w:rPr>
          <w:rFonts w:ascii="Times New Roman" w:hAnsi="Times New Roman" w:eastAsia="仿宋_GB2312" w:cs="Times New Roman"/>
          <w:b/>
          <w:sz w:val="32"/>
          <w:szCs w:val="32"/>
        </w:rPr>
        <w:t>。</w:t>
      </w:r>
      <w:r>
        <w:rPr>
          <w:rFonts w:ascii="Times New Roman" w:hAnsi="Times New Roman" w:eastAsia="仿宋_GB2312" w:cs="Times New Roman"/>
          <w:sz w:val="32"/>
          <w:szCs w:val="32"/>
        </w:rPr>
        <w:t>各级政府应当将大气污染防治工作纳入国民经济和社会发展规划，加大对大气污染防治的财政投入；设立大气污染防治专项资金，实施项目库动态管理，资金优先支持列入年度实施计划的污染治理项目库内的项目。环境空气质量未达标城市要加大大气污染防治资金投入，并每年保持适当增幅。创新资金管理模式，建立政府、企业、社会多元化投融资机制，拓宽融资渠道。鼓励和引导金融机构加大污染防治项目信贷支持力度，推行绿色信贷、绿色保险等绿色金融服务。落实好燃煤电厂超低排放环保电价，全面清理取消对高耗能行业的优待类电价以及其他各种不合理价格优惠政策。严格执行环境保护税法，落实购置环境保护专用设备企业所得税抵免优惠政策，对符合条件的新能源汽车免征车辆购置税，落实对节能，新能源车船减免车船税的政策。</w:t>
      </w:r>
      <w:r>
        <w:rPr>
          <w:rFonts w:ascii="Times New Roman" w:hAnsi="Times New Roman" w:eastAsia="楷体_GB2312" w:cs="Times New Roman"/>
          <w:b/>
          <w:bCs/>
          <w:sz w:val="32"/>
          <w:szCs w:val="32"/>
        </w:rPr>
        <w:t>（市发改委、财政局、税务局、环保局牵头；人民银行、银监局等参与）</w:t>
      </w:r>
    </w:p>
    <w:p>
      <w:pPr>
        <w:adjustRightInd w:val="0"/>
        <w:snapToGrid w:val="0"/>
        <w:spacing w:line="600" w:lineRule="exact"/>
        <w:ind w:firstLine="643" w:firstLineChars="200"/>
        <w:outlineLvl w:val="1"/>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（八）明确落实各方责任，动员全社会广泛参与</w:t>
      </w:r>
    </w:p>
    <w:p>
      <w:pPr>
        <w:adjustRightInd w:val="0"/>
        <w:snapToGrid w:val="0"/>
        <w:spacing w:line="600" w:lineRule="exact"/>
        <w:ind w:firstLine="643" w:firstLineChars="200"/>
        <w:outlineLvl w:val="1"/>
        <w:rPr>
          <w:rFonts w:ascii="Times New Roman" w:hAnsi="Times New Roman" w:eastAsia="楷体_GB2312" w:cs="Times New Roman"/>
          <w:b/>
          <w:bCs/>
          <w:sz w:val="32"/>
          <w:szCs w:val="32"/>
        </w:rPr>
      </w:pPr>
      <w:r>
        <w:rPr>
          <w:rFonts w:ascii="Times New Roman" w:hAnsi="Times New Roman" w:eastAsia="仿宋_GB2312" w:cs="Times New Roman"/>
          <w:b/>
          <w:sz w:val="32"/>
          <w:szCs w:val="32"/>
        </w:rPr>
        <w:t>26.加强组织领导。</w:t>
      </w:r>
      <w:r>
        <w:rPr>
          <w:rFonts w:ascii="Times New Roman" w:hAnsi="Times New Roman" w:eastAsia="仿宋_GB2312" w:cs="Times New Roman"/>
          <w:sz w:val="32"/>
          <w:szCs w:val="32"/>
        </w:rPr>
        <w:t>地方各级人民政府要把打赢蓝天保卫战放在重要位置，主要领导是本行政区域第一责任人，切实加强组织领导，制定实施方案，细化分解目标任务，科学安排指标进度，压实各方责任，层层抓落实。各有关部门按照管发展的管环保、管生产的管环保、管行业的管环保原则，进一步细化分工任务，制定配套政策措施，落实“一岗双责”，加大督促力度，加强协调联动，共同推进大气污染防治工作，确保按时完成各项目标任务。</w:t>
      </w:r>
      <w:r>
        <w:rPr>
          <w:rFonts w:ascii="Times New Roman" w:hAnsi="Times New Roman" w:eastAsia="楷体_GB2312" w:cs="Times New Roman"/>
          <w:b/>
          <w:bCs/>
          <w:sz w:val="32"/>
          <w:szCs w:val="32"/>
        </w:rPr>
        <w:t>（市委办公</w:t>
      </w:r>
      <w:r>
        <w:rPr>
          <w:rFonts w:hint="eastAsia" w:ascii="Times New Roman" w:hAnsi="Times New Roman" w:eastAsia="楷体_GB2312" w:cs="Times New Roman"/>
          <w:b/>
          <w:bCs/>
          <w:sz w:val="32"/>
          <w:szCs w:val="32"/>
          <w:lang w:eastAsia="zh-CN"/>
        </w:rPr>
        <w:t>室</w:t>
      </w:r>
      <w:r>
        <w:rPr>
          <w:rFonts w:ascii="Times New Roman" w:hAnsi="Times New Roman" w:eastAsia="楷体_GB2312" w:cs="Times New Roman"/>
          <w:b/>
          <w:bCs/>
          <w:sz w:val="32"/>
          <w:szCs w:val="32"/>
        </w:rPr>
        <w:t>、政府办公</w:t>
      </w:r>
      <w:r>
        <w:rPr>
          <w:rFonts w:hint="eastAsia" w:ascii="Times New Roman" w:hAnsi="Times New Roman" w:eastAsia="楷体_GB2312" w:cs="Times New Roman"/>
          <w:b/>
          <w:bCs/>
          <w:sz w:val="32"/>
          <w:szCs w:val="32"/>
          <w:lang w:eastAsia="zh-CN"/>
        </w:rPr>
        <w:t>室</w:t>
      </w:r>
      <w:r>
        <w:rPr>
          <w:rFonts w:ascii="Times New Roman" w:hAnsi="Times New Roman" w:eastAsia="楷体_GB2312" w:cs="Times New Roman"/>
          <w:b/>
          <w:bCs/>
          <w:sz w:val="32"/>
          <w:szCs w:val="32"/>
        </w:rPr>
        <w:t>牵头；相关部门参与）</w:t>
      </w:r>
    </w:p>
    <w:p>
      <w:pPr>
        <w:adjustRightInd w:val="0"/>
        <w:snapToGrid w:val="0"/>
        <w:spacing w:line="600" w:lineRule="exact"/>
        <w:ind w:firstLine="643" w:firstLineChars="200"/>
        <w:outlineLvl w:val="1"/>
        <w:rPr>
          <w:rFonts w:ascii="Times New Roman" w:hAnsi="Times New Roman" w:eastAsia="楷体" w:cs="Times New Roman"/>
          <w:b/>
          <w:sz w:val="32"/>
          <w:szCs w:val="32"/>
        </w:rPr>
      </w:pPr>
      <w:r>
        <w:rPr>
          <w:rFonts w:ascii="Times New Roman" w:hAnsi="Times New Roman" w:eastAsia="仿宋_GB2312" w:cs="Times New Roman"/>
          <w:b/>
          <w:sz w:val="32"/>
          <w:szCs w:val="32"/>
        </w:rPr>
        <w:t>27.严格考核问责。</w:t>
      </w:r>
      <w:r>
        <w:rPr>
          <w:rFonts w:ascii="Times New Roman" w:hAnsi="Times New Roman" w:eastAsia="仿宋_GB2312" w:cs="Times New Roman"/>
          <w:sz w:val="32"/>
          <w:szCs w:val="32"/>
        </w:rPr>
        <w:t>制定考核办法，定期对各旗县区环境质量改善、主要污染物排放、重点工程进展情况进行调度，年终进行评估考核，将考核结果作为对领导班子和领导干部综合考核评价的重要依据，同时作为大气污染防治相关资金分配的参考依据。考核不合格的地区，由上级环境保护部门会同有关部门公开约谈地方政府主要负责人，实行区域环评限批。干预、伪造数据的，要依法依纪追究有关单位和人员责任。</w:t>
      </w:r>
      <w:r>
        <w:rPr>
          <w:rFonts w:ascii="Times New Roman" w:hAnsi="Times New Roman" w:eastAsia="楷体_GB2312" w:cs="Times New Roman"/>
          <w:b/>
          <w:bCs/>
          <w:sz w:val="32"/>
          <w:szCs w:val="32"/>
        </w:rPr>
        <w:t>（市环保局牵头；相关部门参与）</w:t>
      </w:r>
    </w:p>
    <w:p>
      <w:pPr>
        <w:adjustRightInd w:val="0"/>
        <w:snapToGrid w:val="0"/>
        <w:spacing w:line="600" w:lineRule="exact"/>
        <w:ind w:firstLine="643" w:firstLineChars="200"/>
        <w:outlineLvl w:val="1"/>
        <w:rPr>
          <w:rFonts w:ascii="Times New Roman" w:hAnsi="Times New Roman" w:eastAsia="楷体_GB2312" w:cs="Times New Roman"/>
          <w:b/>
          <w:bCs/>
          <w:sz w:val="32"/>
          <w:szCs w:val="32"/>
        </w:rPr>
      </w:pPr>
      <w:r>
        <w:rPr>
          <w:rFonts w:ascii="Times New Roman" w:hAnsi="Times New Roman" w:eastAsia="仿宋_GB2312" w:cs="Times New Roman"/>
          <w:b/>
          <w:sz w:val="32"/>
          <w:szCs w:val="32"/>
        </w:rPr>
        <w:t>28.加强环境信息公开。</w:t>
      </w:r>
      <w:r>
        <w:rPr>
          <w:rFonts w:ascii="Times New Roman" w:hAnsi="Times New Roman" w:eastAsia="仿宋_GB2312" w:cs="Times New Roman"/>
          <w:sz w:val="32"/>
          <w:szCs w:val="32"/>
        </w:rPr>
        <w:t>各地要公开重污染天气应急预案及应急措施清单，及时发布重污染天气预警提示信息。建立健全环保信息强制性公开制度。重点排污单位应及时公布自行监测和污染排放数据、污染治理措施、重污染天气应对、环保违法处罚及整改等信息。已核发排污许可证的企业应按要求及时公布执行报告。机动车和非道路移动机械生产、进口企业应依法向社会公开排放检验、污染控制技术等环保信息。</w:t>
      </w:r>
      <w:r>
        <w:rPr>
          <w:rFonts w:ascii="Times New Roman" w:hAnsi="Times New Roman" w:eastAsia="楷体_GB2312" w:cs="Times New Roman"/>
          <w:b/>
          <w:bCs/>
          <w:sz w:val="32"/>
          <w:szCs w:val="32"/>
        </w:rPr>
        <w:t>（市环保局牵头）</w:t>
      </w:r>
    </w:p>
    <w:p>
      <w:pPr>
        <w:adjustRightInd w:val="0"/>
        <w:snapToGrid w:val="0"/>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仿宋_GB2312" w:cs="Times New Roman"/>
          <w:b/>
          <w:sz w:val="32"/>
          <w:szCs w:val="32"/>
        </w:rPr>
        <w:t>29.构建全民行动格局。</w:t>
      </w:r>
      <w:r>
        <w:rPr>
          <w:rFonts w:ascii="Times New Roman" w:hAnsi="Times New Roman" w:eastAsia="仿宋_GB2312" w:cs="Times New Roman"/>
          <w:sz w:val="32"/>
          <w:szCs w:val="32"/>
        </w:rPr>
        <w:t>通过新闻发布、融媒体宣传报道等形式，动员全社会积极参与大气污染防治行动，鼓励公众通过多种渠道举报环境违法行为。树立绿色消费理念，倡导勤俭节约、绿色低碳、文明健康的生活方式，形成崇尚绿色发展的社会风尚，提升公众环境保护意识。</w:t>
      </w:r>
      <w:r>
        <w:rPr>
          <w:rFonts w:ascii="Times New Roman" w:hAnsi="Times New Roman" w:eastAsia="楷体_GB2312" w:cs="Times New Roman"/>
          <w:b/>
          <w:bCs/>
          <w:sz w:val="32"/>
          <w:szCs w:val="32"/>
        </w:rPr>
        <w:t>（市委宣传部牵头；市教育局、环保局、文新</w:t>
      </w:r>
      <w:bookmarkStart w:id="17" w:name="_GoBack"/>
      <w:bookmarkEnd w:id="17"/>
      <w:r>
        <w:rPr>
          <w:rFonts w:ascii="Times New Roman" w:hAnsi="Times New Roman" w:eastAsia="楷体_GB2312" w:cs="Times New Roman"/>
          <w:b/>
          <w:bCs/>
          <w:sz w:val="32"/>
          <w:szCs w:val="32"/>
        </w:rPr>
        <w:t>广局、巴彦淖尔日报社、广播电视台参与）</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原市政府印发《巴彦淖尔市大气污染防治攻坚计划（2018年—2020年）》及《巴彦淖尔市2018年度大气污染防治工作实施计划》（巴政发〔2018〕61号）文件正文同时废止，附表考核重点工程项目继续实施。</w:t>
      </w:r>
    </w:p>
    <w:sectPr>
      <w:footerReference r:id="rId4" w:type="default"/>
      <w:type w:val="continuous"/>
      <w:pgSz w:w="11906" w:h="16838"/>
      <w:pgMar w:top="1440" w:right="1797" w:bottom="1440" w:left="1797" w:header="851" w:footer="992" w:gutter="0"/>
      <w:pgNumType w:fmt="numberInDash"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2805659"/>
    </w:sdtPr>
    <w:sdtContent>
      <w:p>
        <w:pPr>
          <w:pStyle w:val="8"/>
          <w:jc w:val="center"/>
        </w:pPr>
        <w:r>
          <w:fldChar w:fldCharType="begin"/>
        </w:r>
        <w:r>
          <w:instrText xml:space="preserve">PAGE   \* MERGEFORMAT</w:instrText>
        </w:r>
        <w:r>
          <w:fldChar w:fldCharType="separate"/>
        </w:r>
        <w:r>
          <w:rPr>
            <w:lang w:val="zh-CN"/>
          </w:rPr>
          <w:t>-</w:t>
        </w:r>
        <w:r>
          <w:t xml:space="preserve"> 4 -</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growAutofit/>
    <w:useFELayout/>
    <w:doNotUseIndentAsNumberingTabStop/>
    <w:useAltKinsokuLineBreakRules/>
    <w:splitPgBreakAndParaMark/>
    <w:compatSetting w:name="compatibilityMode" w:uri="http://schemas.microsoft.com/office/word" w:val="12"/>
  </w:compat>
  <w:rsids>
    <w:rsidRoot w:val="008D4EE1"/>
    <w:rsid w:val="001645E7"/>
    <w:rsid w:val="001A52C1"/>
    <w:rsid w:val="002919A4"/>
    <w:rsid w:val="002F41DD"/>
    <w:rsid w:val="00366FB3"/>
    <w:rsid w:val="0037429F"/>
    <w:rsid w:val="00402941"/>
    <w:rsid w:val="00413D9D"/>
    <w:rsid w:val="00632540"/>
    <w:rsid w:val="006C2044"/>
    <w:rsid w:val="00763C49"/>
    <w:rsid w:val="007B28F5"/>
    <w:rsid w:val="007D7412"/>
    <w:rsid w:val="00832548"/>
    <w:rsid w:val="008D4EE1"/>
    <w:rsid w:val="008E55D5"/>
    <w:rsid w:val="009A1A8D"/>
    <w:rsid w:val="009F149B"/>
    <w:rsid w:val="00A56339"/>
    <w:rsid w:val="00A71D1F"/>
    <w:rsid w:val="00A90F89"/>
    <w:rsid w:val="00AB56A1"/>
    <w:rsid w:val="00AF1970"/>
    <w:rsid w:val="00AF4901"/>
    <w:rsid w:val="00B40D13"/>
    <w:rsid w:val="00BA09B5"/>
    <w:rsid w:val="00BE36EE"/>
    <w:rsid w:val="00C925F0"/>
    <w:rsid w:val="00D60B87"/>
    <w:rsid w:val="00DB5F67"/>
    <w:rsid w:val="00DC5EEA"/>
    <w:rsid w:val="00EC4273"/>
    <w:rsid w:val="00F647EF"/>
    <w:rsid w:val="02BA5DCE"/>
    <w:rsid w:val="0485305D"/>
    <w:rsid w:val="060B3ACD"/>
    <w:rsid w:val="09E80551"/>
    <w:rsid w:val="0BD00F4C"/>
    <w:rsid w:val="0E4A7F3B"/>
    <w:rsid w:val="10A25291"/>
    <w:rsid w:val="14ED7AFF"/>
    <w:rsid w:val="1833789B"/>
    <w:rsid w:val="1C35352A"/>
    <w:rsid w:val="271B3986"/>
    <w:rsid w:val="28BA352C"/>
    <w:rsid w:val="2A63243E"/>
    <w:rsid w:val="2B523C09"/>
    <w:rsid w:val="2C9F569F"/>
    <w:rsid w:val="318B7C70"/>
    <w:rsid w:val="31EB206C"/>
    <w:rsid w:val="33182EBC"/>
    <w:rsid w:val="3B81139E"/>
    <w:rsid w:val="3E5D7F12"/>
    <w:rsid w:val="42D83DB7"/>
    <w:rsid w:val="47223244"/>
    <w:rsid w:val="4A4C2EF2"/>
    <w:rsid w:val="4EC076CD"/>
    <w:rsid w:val="55BA65BA"/>
    <w:rsid w:val="56DE43F1"/>
    <w:rsid w:val="5D893150"/>
    <w:rsid w:val="5E715B80"/>
    <w:rsid w:val="645D0BD5"/>
    <w:rsid w:val="6AE57691"/>
    <w:rsid w:val="766A5079"/>
    <w:rsid w:val="77A75BC4"/>
    <w:rsid w:val="78276142"/>
    <w:rsid w:val="7ADA1969"/>
    <w:rsid w:val="7F3A116D"/>
    <w:rsid w:val="7FAA725B"/>
    <w:rsid w:val="7FAF11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Cambria" w:hAnsi="Cambria" w:cs="Times New Roman"/>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character" w:default="1" w:styleId="13">
    <w:name w:val="Default Paragraph Font"/>
    <w:unhideWhenUsed/>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5">
    <w:name w:val="toc 3"/>
    <w:basedOn w:val="1"/>
    <w:next w:val="1"/>
    <w:qFormat/>
    <w:uiPriority w:val="0"/>
    <w:pPr>
      <w:widowControl/>
      <w:spacing w:after="100" w:line="276" w:lineRule="auto"/>
      <w:ind w:left="440"/>
      <w:jc w:val="left"/>
    </w:pPr>
    <w:rPr>
      <w:kern w:val="0"/>
      <w:sz w:val="22"/>
    </w:rPr>
  </w:style>
  <w:style w:type="paragraph" w:styleId="6">
    <w:name w:val="Date"/>
    <w:basedOn w:val="1"/>
    <w:next w:val="1"/>
    <w:link w:val="26"/>
    <w:unhideWhenUsed/>
    <w:uiPriority w:val="99"/>
    <w:pPr>
      <w:ind w:left="100" w:leftChars="2500"/>
    </w:pPr>
  </w:style>
  <w:style w:type="paragraph" w:styleId="7">
    <w:name w:val="Balloon Text"/>
    <w:basedOn w:val="1"/>
    <w:qFormat/>
    <w:uiPriority w:val="0"/>
    <w:rPr>
      <w:sz w:val="18"/>
      <w:szCs w:val="18"/>
    </w:rPr>
  </w:style>
  <w:style w:type="paragraph" w:styleId="8">
    <w:name w:val="footer"/>
    <w:basedOn w:val="1"/>
    <w:link w:val="25"/>
    <w:qFormat/>
    <w:uiPriority w:val="99"/>
    <w:pPr>
      <w:tabs>
        <w:tab w:val="center" w:pos="4153"/>
        <w:tab w:val="right" w:pos="8306"/>
      </w:tabs>
      <w:snapToGrid w:val="0"/>
      <w:jc w:val="left"/>
    </w:pPr>
    <w:rPr>
      <w:sz w:val="18"/>
      <w:szCs w:val="18"/>
    </w:rPr>
  </w:style>
  <w:style w:type="paragraph" w:styleId="9">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widowControl/>
      <w:spacing w:after="100" w:line="276" w:lineRule="auto"/>
      <w:jc w:val="left"/>
    </w:pPr>
    <w:rPr>
      <w:kern w:val="0"/>
      <w:sz w:val="22"/>
    </w:rPr>
  </w:style>
  <w:style w:type="paragraph" w:styleId="11">
    <w:name w:val="toc 2"/>
    <w:basedOn w:val="1"/>
    <w:next w:val="1"/>
    <w:qFormat/>
    <w:uiPriority w:val="0"/>
    <w:pPr>
      <w:widowControl/>
      <w:spacing w:after="100" w:line="276" w:lineRule="auto"/>
      <w:ind w:left="220"/>
      <w:jc w:val="left"/>
    </w:pPr>
    <w:rPr>
      <w:kern w:val="0"/>
      <w:sz w:val="22"/>
    </w:rPr>
  </w:style>
  <w:style w:type="paragraph" w:styleId="12">
    <w:name w:val="Normal (Web)"/>
    <w:basedOn w:val="1"/>
    <w:qFormat/>
    <w:uiPriority w:val="0"/>
    <w:pPr>
      <w:widowControl/>
      <w:spacing w:before="100" w:beforeAutospacing="1" w:after="100" w:afterAutospacing="1"/>
      <w:jc w:val="left"/>
    </w:pPr>
    <w:rPr>
      <w:rFonts w:ascii="宋体" w:cs="宋体"/>
      <w:kern w:val="0"/>
      <w:sz w:val="24"/>
      <w:szCs w:val="24"/>
    </w:rPr>
  </w:style>
  <w:style w:type="character" w:styleId="14">
    <w:name w:val="Hyperlink"/>
    <w:basedOn w:val="13"/>
    <w:qFormat/>
    <w:uiPriority w:val="0"/>
    <w:rPr>
      <w:color w:val="0000FF"/>
      <w:u w:val="single"/>
    </w:rPr>
  </w:style>
  <w:style w:type="table" w:styleId="16">
    <w:name w:val="Table Grid"/>
    <w:basedOn w:val="15"/>
    <w:qFormat/>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17">
    <w:name w:val="TOC 标题1"/>
    <w:basedOn w:val="2"/>
    <w:next w:val="1"/>
    <w:qFormat/>
    <w:uiPriority w:val="0"/>
    <w:pPr>
      <w:widowControl/>
      <w:spacing w:before="480" w:after="0" w:line="276" w:lineRule="auto"/>
      <w:jc w:val="left"/>
      <w:outlineLvl w:val="9"/>
    </w:pPr>
    <w:rPr>
      <w:rFonts w:ascii="Cambria" w:hAnsi="Cambria" w:cs="Times New Roman"/>
      <w:color w:val="365F91"/>
      <w:kern w:val="0"/>
      <w:sz w:val="28"/>
      <w:szCs w:val="28"/>
    </w:rPr>
  </w:style>
  <w:style w:type="character" w:customStyle="1" w:styleId="18">
    <w:name w:val="font61"/>
    <w:qFormat/>
    <w:uiPriority w:val="0"/>
    <w:rPr>
      <w:rFonts w:ascii="Times New Roman" w:hAnsi="Times New Roman" w:cs="Times New Roman"/>
      <w:color w:val="000000"/>
      <w:sz w:val="21"/>
      <w:szCs w:val="21"/>
      <w:u w:val="none"/>
    </w:rPr>
  </w:style>
  <w:style w:type="character" w:customStyle="1" w:styleId="19">
    <w:name w:val="font71"/>
    <w:qFormat/>
    <w:uiPriority w:val="0"/>
    <w:rPr>
      <w:rFonts w:ascii="Times New Roman" w:hAnsi="Times New Roman" w:cs="Times New Roman"/>
      <w:color w:val="000000"/>
      <w:sz w:val="21"/>
      <w:szCs w:val="21"/>
      <w:u w:val="none"/>
    </w:rPr>
  </w:style>
  <w:style w:type="character" w:customStyle="1" w:styleId="20">
    <w:name w:val="font21"/>
    <w:qFormat/>
    <w:uiPriority w:val="0"/>
    <w:rPr>
      <w:rFonts w:ascii="宋体" w:eastAsia="宋体" w:cs="宋体"/>
      <w:color w:val="000000"/>
      <w:sz w:val="22"/>
      <w:szCs w:val="22"/>
      <w:u w:val="none"/>
    </w:rPr>
  </w:style>
  <w:style w:type="character" w:customStyle="1" w:styleId="21">
    <w:name w:val="font41"/>
    <w:qFormat/>
    <w:uiPriority w:val="0"/>
    <w:rPr>
      <w:rFonts w:ascii="Times New Roman" w:hAnsi="Times New Roman" w:cs="Times New Roman"/>
      <w:color w:val="000000"/>
      <w:sz w:val="22"/>
      <w:szCs w:val="22"/>
      <w:u w:val="none"/>
    </w:rPr>
  </w:style>
  <w:style w:type="character" w:customStyle="1" w:styleId="22">
    <w:name w:val="font11"/>
    <w:qFormat/>
    <w:uiPriority w:val="0"/>
    <w:rPr>
      <w:rFonts w:ascii="Times New Roman" w:hAnsi="Times New Roman" w:cs="Times New Roman"/>
      <w:color w:val="000000"/>
      <w:sz w:val="22"/>
      <w:szCs w:val="22"/>
      <w:u w:val="none"/>
    </w:rPr>
  </w:style>
  <w:style w:type="character" w:customStyle="1" w:styleId="23">
    <w:name w:val="font31"/>
    <w:qFormat/>
    <w:uiPriority w:val="0"/>
    <w:rPr>
      <w:rFonts w:ascii="宋体" w:eastAsia="宋体" w:cs="宋体"/>
      <w:color w:val="000000"/>
      <w:sz w:val="22"/>
      <w:szCs w:val="22"/>
      <w:u w:val="none"/>
    </w:rPr>
  </w:style>
  <w:style w:type="character" w:customStyle="1" w:styleId="24">
    <w:name w:val="页眉 Char"/>
    <w:basedOn w:val="13"/>
    <w:link w:val="9"/>
    <w:qFormat/>
    <w:uiPriority w:val="99"/>
    <w:rPr>
      <w:rFonts w:ascii="Calibri" w:hAnsi="Calibri" w:cs="Arial"/>
      <w:kern w:val="2"/>
      <w:sz w:val="18"/>
      <w:szCs w:val="18"/>
    </w:rPr>
  </w:style>
  <w:style w:type="character" w:customStyle="1" w:styleId="25">
    <w:name w:val="页脚 Char"/>
    <w:basedOn w:val="13"/>
    <w:link w:val="8"/>
    <w:qFormat/>
    <w:uiPriority w:val="99"/>
    <w:rPr>
      <w:rFonts w:ascii="Calibri" w:hAnsi="Calibri" w:cs="Arial"/>
      <w:kern w:val="2"/>
      <w:sz w:val="18"/>
      <w:szCs w:val="18"/>
    </w:rPr>
  </w:style>
  <w:style w:type="character" w:customStyle="1" w:styleId="26">
    <w:name w:val="日期 Char"/>
    <w:basedOn w:val="13"/>
    <w:link w:val="6"/>
    <w:semiHidden/>
    <w:uiPriority w:val="99"/>
    <w:rPr>
      <w:rFonts w:cs="Arial"/>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20</Pages>
  <Words>1550</Words>
  <Characters>8839</Characters>
  <Lines>73</Lines>
  <Paragraphs>20</Paragraphs>
  <TotalTime>0</TotalTime>
  <ScaleCrop>false</ScaleCrop>
  <LinksUpToDate>false</LinksUpToDate>
  <CharactersWithSpaces>10369</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2018-02-05T10:08:00Z</dcterms:created>
  <dc:creator>微软用户</dc:creator>
  <cp:lastModifiedBy>Administrator</cp:lastModifiedBy>
  <cp:lastPrinted>2018-12-07T09:01:00Z</cp:lastPrinted>
  <dcterms:modified xsi:type="dcterms:W3CDTF">2018-12-20T04:00:27Z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