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80" w:lineRule="exact"/>
        <w:ind w:firstLine="0" w:firstLineChars="0"/>
        <w:jc w:val="center"/>
        <w:rPr>
          <w:rFonts w:ascii="仿宋_GB2312" w:hAnsi="仿宋_GB2312" w:eastAsia="仿宋_GB2312" w:cs="仿宋_GB2312"/>
          <w:b/>
          <w:sz w:val="52"/>
          <w:szCs w:val="52"/>
        </w:rPr>
      </w:pPr>
    </w:p>
    <w:p>
      <w:pPr>
        <w:pStyle w:val="2"/>
      </w:pPr>
    </w:p>
    <w:p>
      <w:pPr>
        <w:spacing w:line="980" w:lineRule="exact"/>
        <w:ind w:firstLine="0" w:firstLineChars="0"/>
        <w:jc w:val="center"/>
        <w:rPr>
          <w:rFonts w:ascii="方正小标宋简体" w:hAnsi="方正小标宋简体" w:eastAsia="方正小标宋简体" w:cs="方正小标宋简体"/>
          <w:b/>
          <w:sz w:val="52"/>
          <w:szCs w:val="52"/>
        </w:rPr>
      </w:pPr>
      <w:r>
        <w:rPr>
          <w:rFonts w:hint="eastAsia" w:ascii="方正小标宋简体" w:hAnsi="方正小标宋简体" w:eastAsia="方正小标宋简体" w:cs="方正小标宋简体"/>
          <w:b/>
          <w:sz w:val="52"/>
          <w:szCs w:val="52"/>
        </w:rPr>
        <w:t>巴彦淖尔市生产安全事故应急预案</w:t>
      </w:r>
    </w:p>
    <w:p>
      <w:pPr>
        <w:spacing w:line="980" w:lineRule="exact"/>
        <w:ind w:firstLine="0" w:firstLineChars="0"/>
        <w:jc w:val="center"/>
        <w:rPr>
          <w:rFonts w:ascii="仿宋_GB2312" w:hAnsi="仿宋_GB2312" w:eastAsia="仿宋_GB2312" w:cs="仿宋_GB2312"/>
          <w:b/>
          <w:sz w:val="52"/>
          <w:szCs w:val="52"/>
        </w:rPr>
      </w:pPr>
    </w:p>
    <w:p>
      <w:pPr>
        <w:pStyle w:val="2"/>
        <w:ind w:firstLine="640"/>
      </w:pPr>
    </w:p>
    <w:p/>
    <w:p>
      <w:pPr>
        <w:spacing w:line="720" w:lineRule="exact"/>
        <w:ind w:firstLine="0" w:firstLineChars="0"/>
        <w:jc w:val="center"/>
        <w:rPr>
          <w:rFonts w:ascii="方正小标宋简体" w:hAnsi="Calibri" w:eastAsia="方正小标宋简体"/>
          <w:b/>
          <w:spacing w:val="23"/>
          <w:sz w:val="44"/>
          <w:szCs w:val="44"/>
        </w:rPr>
      </w:pPr>
      <w:r>
        <w:rPr>
          <w:rFonts w:hint="eastAsia" w:ascii="方正小标宋简体" w:hAnsi="Calibri" w:eastAsia="方正小标宋简体"/>
          <w:b/>
          <w:spacing w:val="23"/>
          <w:sz w:val="44"/>
          <w:szCs w:val="44"/>
        </w:rPr>
        <w:t>（202</w:t>
      </w:r>
      <w:r>
        <w:rPr>
          <w:rFonts w:hint="eastAsia" w:ascii="方正小标宋简体" w:hAnsi="Calibri" w:eastAsia="方正小标宋简体"/>
          <w:b/>
          <w:spacing w:val="23"/>
          <w:sz w:val="44"/>
          <w:szCs w:val="44"/>
          <w:lang w:val="en-US" w:eastAsia="zh-CN"/>
        </w:rPr>
        <w:t>1</w:t>
      </w:r>
      <w:r>
        <w:rPr>
          <w:rFonts w:hint="eastAsia" w:ascii="方正小标宋简体" w:hAnsi="Calibri" w:eastAsia="方正小标宋简体"/>
          <w:b/>
          <w:spacing w:val="23"/>
          <w:sz w:val="44"/>
          <w:szCs w:val="44"/>
        </w:rPr>
        <w:t>版）</w:t>
      </w:r>
    </w:p>
    <w:p>
      <w:pPr>
        <w:spacing w:line="640" w:lineRule="exact"/>
        <w:ind w:firstLine="0" w:firstLineChars="0"/>
        <w:jc w:val="center"/>
        <w:rPr>
          <w:rFonts w:ascii="方正小标宋简体" w:hAnsi="Calibri" w:eastAsia="方正小标宋简体"/>
          <w:b/>
          <w:spacing w:val="51"/>
          <w:sz w:val="44"/>
          <w:szCs w:val="44"/>
        </w:rPr>
      </w:pPr>
    </w:p>
    <w:p>
      <w:pPr>
        <w:pStyle w:val="13"/>
        <w:spacing w:line="800" w:lineRule="exact"/>
        <w:ind w:firstLine="1440"/>
        <w:jc w:val="center"/>
        <w:rPr>
          <w:rStyle w:val="20"/>
          <w:rFonts w:ascii="仿宋_GB2312" w:hAnsi="仿宋_GB2312" w:eastAsia="仿宋_GB2312" w:cs="仿宋_GB2312"/>
          <w:bCs w:val="0"/>
          <w:sz w:val="72"/>
          <w:szCs w:val="72"/>
        </w:rPr>
      </w:pPr>
    </w:p>
    <w:p>
      <w:pPr>
        <w:pStyle w:val="13"/>
        <w:spacing w:line="560" w:lineRule="exact"/>
        <w:ind w:firstLine="960"/>
        <w:jc w:val="center"/>
        <w:rPr>
          <w:rStyle w:val="20"/>
          <w:rFonts w:ascii="仿宋_GB2312" w:hAnsi="仿宋_GB2312" w:eastAsia="仿宋_GB2312" w:cs="仿宋_GB2312"/>
          <w:bCs w:val="0"/>
          <w:sz w:val="48"/>
          <w:szCs w:val="48"/>
        </w:rPr>
      </w:pPr>
    </w:p>
    <w:p>
      <w:pPr>
        <w:pStyle w:val="13"/>
        <w:spacing w:line="560" w:lineRule="exact"/>
        <w:ind w:firstLine="960"/>
        <w:jc w:val="center"/>
        <w:rPr>
          <w:rStyle w:val="20"/>
          <w:rFonts w:ascii="仿宋_GB2312" w:hAnsi="仿宋_GB2312" w:eastAsia="仿宋_GB2312" w:cs="仿宋_GB2312"/>
          <w:bCs w:val="0"/>
          <w:sz w:val="48"/>
          <w:szCs w:val="48"/>
        </w:rPr>
      </w:pPr>
    </w:p>
    <w:p>
      <w:pPr>
        <w:pStyle w:val="13"/>
        <w:spacing w:line="560" w:lineRule="exact"/>
        <w:ind w:firstLine="960"/>
        <w:jc w:val="center"/>
        <w:rPr>
          <w:rStyle w:val="20"/>
          <w:rFonts w:ascii="仿宋_GB2312" w:hAnsi="仿宋_GB2312" w:eastAsia="仿宋_GB2312" w:cs="仿宋_GB2312"/>
          <w:bCs w:val="0"/>
          <w:sz w:val="48"/>
          <w:szCs w:val="48"/>
        </w:rPr>
      </w:pPr>
    </w:p>
    <w:p>
      <w:pPr>
        <w:pStyle w:val="13"/>
        <w:spacing w:line="560" w:lineRule="exact"/>
        <w:ind w:firstLine="960"/>
        <w:jc w:val="center"/>
        <w:rPr>
          <w:rStyle w:val="20"/>
          <w:rFonts w:ascii="仿宋_GB2312" w:hAnsi="仿宋_GB2312" w:eastAsia="仿宋_GB2312" w:cs="仿宋_GB2312"/>
          <w:bCs w:val="0"/>
          <w:sz w:val="48"/>
          <w:szCs w:val="48"/>
        </w:rPr>
      </w:pPr>
    </w:p>
    <w:p>
      <w:pPr>
        <w:spacing w:line="640" w:lineRule="exact"/>
        <w:ind w:firstLine="0" w:firstLineChars="0"/>
        <w:jc w:val="center"/>
        <w:rPr>
          <w:rFonts w:hint="eastAsia" w:ascii="方正小标宋简体" w:hAnsi="Calibri" w:eastAsia="方正小标宋简体"/>
          <w:b/>
          <w:spacing w:val="40"/>
          <w:sz w:val="44"/>
          <w:szCs w:val="44"/>
          <w:lang w:val="en-US" w:eastAsia="zh-CN"/>
        </w:rPr>
      </w:pPr>
      <w:r>
        <w:rPr>
          <w:rFonts w:hint="eastAsia" w:ascii="方正小标宋简体" w:hAnsi="Calibri" w:eastAsia="方正小标宋简体"/>
          <w:b/>
          <w:spacing w:val="40"/>
          <w:sz w:val="44"/>
          <w:szCs w:val="44"/>
        </w:rPr>
        <w:t>巴彦淖尔市人民政府</w:t>
      </w:r>
      <w:r>
        <w:rPr>
          <w:rFonts w:hint="eastAsia" w:ascii="方正小标宋简体" w:hAnsi="Calibri" w:eastAsia="方正小标宋简体"/>
          <w:b/>
          <w:spacing w:val="40"/>
          <w:sz w:val="44"/>
          <w:szCs w:val="44"/>
          <w:lang w:val="en-US" w:eastAsia="zh-CN"/>
        </w:rPr>
        <w:t>办公室</w:t>
      </w:r>
    </w:p>
    <w:p>
      <w:pPr>
        <w:spacing w:line="640" w:lineRule="exact"/>
        <w:ind w:firstLine="0" w:firstLineChars="0"/>
        <w:jc w:val="center"/>
        <w:rPr>
          <w:rFonts w:ascii="方正小标宋简体" w:hAnsi="Calibri" w:eastAsia="方正小标宋简体"/>
          <w:b/>
          <w:spacing w:val="40"/>
          <w:sz w:val="44"/>
          <w:szCs w:val="44"/>
        </w:rPr>
        <w:sectPr>
          <w:pgSz w:w="11905" w:h="16838"/>
          <w:pgMar w:top="1417" w:right="1134" w:bottom="1134" w:left="1587" w:header="964" w:footer="737" w:gutter="0"/>
          <w:pgNumType w:fmt="numberInDash" w:start="1"/>
          <w:cols w:space="0" w:num="1"/>
          <w:docGrid w:type="lines" w:linePitch="386" w:charSpace="0"/>
        </w:sectPr>
      </w:pPr>
      <w:r>
        <w:rPr>
          <w:rFonts w:hint="eastAsia" w:ascii="方正小标宋简体" w:hAnsi="Calibri" w:eastAsia="方正小标宋简体"/>
          <w:b/>
          <w:spacing w:val="40"/>
          <w:sz w:val="44"/>
          <w:szCs w:val="44"/>
        </w:rPr>
        <w:t>二〇二</w:t>
      </w:r>
      <w:r>
        <w:rPr>
          <w:rFonts w:hint="eastAsia" w:ascii="方正小标宋简体" w:hAnsi="Calibri" w:eastAsia="方正小标宋简体"/>
          <w:b/>
          <w:spacing w:val="40"/>
          <w:sz w:val="44"/>
          <w:szCs w:val="44"/>
          <w:lang w:val="en-US" w:eastAsia="zh-CN"/>
        </w:rPr>
        <w:t>一</w:t>
      </w:r>
      <w:r>
        <w:rPr>
          <w:rFonts w:hint="eastAsia" w:ascii="方正小标宋简体" w:hAnsi="Calibri" w:eastAsia="方正小标宋简体"/>
          <w:b/>
          <w:spacing w:val="40"/>
          <w:sz w:val="44"/>
          <w:szCs w:val="44"/>
        </w:rPr>
        <w:t>年</w:t>
      </w:r>
      <w:r>
        <w:rPr>
          <w:rFonts w:hint="eastAsia" w:ascii="方正小标宋简体" w:hAnsi="Calibri" w:eastAsia="方正小标宋简体"/>
          <w:b/>
          <w:spacing w:val="40"/>
          <w:sz w:val="44"/>
          <w:szCs w:val="44"/>
          <w:lang w:val="en-US" w:eastAsia="zh-CN"/>
        </w:rPr>
        <w:t>六</w:t>
      </w:r>
      <w:bookmarkStart w:id="118" w:name="_GoBack"/>
      <w:bookmarkEnd w:id="118"/>
      <w:r>
        <w:rPr>
          <w:rFonts w:hint="eastAsia" w:ascii="方正小标宋简体" w:hAnsi="Calibri" w:eastAsia="方正小标宋简体"/>
          <w:b/>
          <w:spacing w:val="40"/>
          <w:sz w:val="44"/>
          <w:szCs w:val="44"/>
        </w:rPr>
        <w:t>月</w:t>
      </w:r>
    </w:p>
    <w:p>
      <w:pPr>
        <w:pStyle w:val="2"/>
        <w:ind w:firstLine="640"/>
        <w:sectPr>
          <w:pgSz w:w="11905" w:h="16838"/>
          <w:pgMar w:top="1417" w:right="1134" w:bottom="1134" w:left="1587" w:header="964" w:footer="737" w:gutter="0"/>
          <w:pgNumType w:fmt="numberInDash" w:start="1"/>
          <w:cols w:space="0" w:num="1"/>
          <w:docGrid w:type="lines" w:linePitch="386" w:charSpace="0"/>
        </w:sectPr>
      </w:pPr>
    </w:p>
    <w:p>
      <w:pPr>
        <w:keepNext w:val="0"/>
        <w:keepLines w:val="0"/>
        <w:pageBreakBefore w:val="0"/>
        <w:widowControl w:val="0"/>
        <w:tabs>
          <w:tab w:val="left" w:pos="4111"/>
        </w:tabs>
        <w:kinsoku/>
        <w:wordWrap/>
        <w:overflowPunct/>
        <w:topLinePunct w:val="0"/>
        <w:autoSpaceDE/>
        <w:autoSpaceDN/>
        <w:bidi w:val="0"/>
        <w:adjustRightInd/>
        <w:snapToGrid/>
        <w:spacing w:line="700" w:lineRule="exact"/>
        <w:ind w:firstLine="0" w:firstLineChars="0"/>
        <w:jc w:val="center"/>
        <w:textAlignment w:val="auto"/>
        <w:rPr>
          <w:rFonts w:ascii="仿宋" w:hAnsi="仿宋" w:cs="仿宋"/>
          <w:b/>
          <w:bCs/>
          <w:szCs w:val="28"/>
        </w:rPr>
      </w:pPr>
      <w:r>
        <w:rPr>
          <w:rFonts w:hint="eastAsia" w:ascii="仿宋" w:hAnsi="仿宋" w:cs="仿宋"/>
          <w:b/>
          <w:bCs/>
          <w:szCs w:val="28"/>
        </w:rPr>
        <w:t>目  录</w:t>
      </w:r>
    </w:p>
    <w:p>
      <w:pPr>
        <w:pStyle w:val="11"/>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TOC \o "1-2" \h \z \u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_Toc22369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32"/>
        </w:rPr>
        <w:t>1 总则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_Toc22369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_Toc21994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1.1 编制目的</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_Toc21994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_Toc12573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1.2指导思想</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_Toc12573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_Toc25935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1.3编制依据</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_Toc25935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_Toc22730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1.4适用范围</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_Toc22730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_Toc27088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1.5应急预案体系</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_Toc27088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_Toc24908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1.6工作原则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_Toc24908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1"/>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_Toc29792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32"/>
        </w:rPr>
        <w:t>2 组织机构体系及职责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_Toc29792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- 5 -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_Toc8949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2.1 领导机构及职责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_Toc8949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- 5 -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_Toc8820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2.2应急指挥机构组成</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_Toc8820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- 5 -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_Toc31280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2.4 指挥部办公室职责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_Toc31280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- 6 -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_Toc18563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2.5应急救援组组成及职责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_Toc18563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- 7 -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_Toc5221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2.6 成员单位及职责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_Toc5221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- 9 -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_Toc9694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2.7 旗县区人民政府、甘其毛都口岸管委会及巴彦淖尔经济技术开发区管委会职责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_Toc9694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- 14 -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_Toc1284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2.8技术专家组组成与职责</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_Toc1284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- 14 -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_Toc5138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2.9 应急救援队伍组成</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_Toc5138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- 14 -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1"/>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_Toc27609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32"/>
        </w:rPr>
        <w:t>3 预防、预警及信息报告</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_Toc27609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- 15 -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_Toc30306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3.1 预防与应急准备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_Toc30306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- 15 -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_Toc32538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3.2监测与预警</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_Toc32538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- 15 -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_Toc4649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3.3 信息报告</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_Toc4649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- 18 -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1"/>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_Toc7886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32"/>
        </w:rPr>
        <w:t>4 应急响应</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_Toc7886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- 19 -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_Toc32536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rPr>
        <w:t>4.1分级响应</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_Toc32536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- 19 -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_Toc1148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4.2 指挥和协调</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_Toc1148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- 22 -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_Toc5815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4.3 应急处置</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_Toc5815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- 23 -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_Toc31044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4.4现场监测与评估</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_Toc31044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- 25 -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_Toc17549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4.5 信息发布</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_Toc17549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- 25 -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_Toc3538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4.6响应结束</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_Toc3538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- 26 -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_Toc25813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4.7现场恢复</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_Toc25813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- 26 -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1"/>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_Toc27333 </w:instrText>
      </w:r>
      <w:r>
        <w:rPr>
          <w:rFonts w:hint="eastAsia" w:ascii="仿宋_GB2312" w:hAnsi="仿宋_GB2312" w:eastAsia="仿宋_GB2312" w:cs="仿宋_GB2312"/>
        </w:rPr>
        <w:fldChar w:fldCharType="separate"/>
      </w:r>
      <w:r>
        <w:rPr>
          <w:rFonts w:hint="eastAsia" w:ascii="仿宋_GB2312" w:hAnsi="仿宋_GB2312" w:eastAsia="仿宋_GB2312" w:cs="仿宋_GB2312"/>
          <w:szCs w:val="32"/>
        </w:rPr>
        <w:t>5后期处置</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_Toc27333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- 28 -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_Toc3512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5.1 善后处置</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_Toc3512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- 28 -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_Toc17798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5.2 保险理赔</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_Toc17798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- 28 -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_Toc16215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5.3应急总结、评估及改进</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_Toc16215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- 28 -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1"/>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_Toc9380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6应急培训与演练</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_Toc9380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- 30 -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_Toc6448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6.1 宣传、培训和演习</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_Toc6448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- 30 -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_Toc14375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6.2 演练</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_Toc14375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- 30 -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_Toc26529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6.3应急演练应包括以下几项内容：</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_Toc26529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- 31 -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1"/>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_Toc28035 </w:instrText>
      </w:r>
      <w:r>
        <w:rPr>
          <w:rFonts w:hint="eastAsia" w:ascii="仿宋_GB2312" w:hAnsi="仿宋_GB2312" w:eastAsia="仿宋_GB2312" w:cs="仿宋_GB2312"/>
        </w:rPr>
        <w:fldChar w:fldCharType="separate"/>
      </w:r>
      <w:r>
        <w:rPr>
          <w:rFonts w:hint="eastAsia" w:ascii="仿宋_GB2312" w:hAnsi="仿宋_GB2312" w:eastAsia="仿宋_GB2312" w:cs="仿宋_GB2312"/>
          <w:kern w:val="2"/>
          <w:szCs w:val="32"/>
          <w:lang w:val="en-US" w:eastAsia="zh-CN" w:bidi="ar-SA"/>
        </w:rPr>
        <w:t>7 附则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_Toc28035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- 32 -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_Toc12956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7.1 预案管理与更新</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_Toc12956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- 32 -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_Toc25611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7.2 其他要求</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_Toc25611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- 32 -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_Toc32445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7.3 预案解释部门</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_Toc32445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- 33 -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_Toc19991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7.4 预案实施时间</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_Toc19991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- 33 -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1"/>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_Toc15466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rPr>
        <w:t xml:space="preserve">8 </w:t>
      </w:r>
      <w:r>
        <w:rPr>
          <w:rFonts w:hint="eastAsia" w:ascii="仿宋_GB2312" w:hAnsi="仿宋_GB2312" w:eastAsia="仿宋_GB2312" w:cs="仿宋_GB2312"/>
          <w:bCs w:val="0"/>
          <w:lang w:eastAsia="zh-CN"/>
        </w:rPr>
        <w:t>附录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_Toc15466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- 34 -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12"/>
        <w:keepNext w:val="0"/>
        <w:keepLines w:val="0"/>
        <w:pageBreakBefore w:val="0"/>
        <w:widowControl w:val="0"/>
        <w:tabs>
          <w:tab w:val="right" w:leader="dot" w:pos="9184"/>
        </w:tabs>
        <w:kinsoku/>
        <w:wordWrap/>
        <w:overflowPunct/>
        <w:topLinePunct w:val="0"/>
        <w:autoSpaceDE/>
        <w:autoSpaceDN/>
        <w:bidi w:val="0"/>
        <w:adjustRightInd/>
        <w:snapToGrid/>
        <w:ind w:firstLine="0" w:firstLineChars="0"/>
        <w:textAlignment w:val="auto"/>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\l _Toc27705 </w:instrText>
      </w:r>
      <w:r>
        <w:rPr>
          <w:rFonts w:hint="eastAsia" w:ascii="仿宋_GB2312" w:hAnsi="仿宋_GB2312" w:eastAsia="仿宋_GB2312" w:cs="仿宋_GB2312"/>
        </w:rPr>
        <w:fldChar w:fldCharType="separate"/>
      </w:r>
      <w:r>
        <w:rPr>
          <w:rFonts w:hint="eastAsia" w:ascii="仿宋_GB2312" w:hAnsi="仿宋_GB2312" w:eastAsia="仿宋_GB2312" w:cs="仿宋_GB2312"/>
          <w:bCs w:val="0"/>
          <w:kern w:val="0"/>
          <w:szCs w:val="32"/>
        </w:rPr>
        <w:t>8.1应急响应图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_Toc27705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- 34 -</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spacing w:line="540" w:lineRule="exact"/>
        <w:ind w:firstLine="0" w:firstLineChars="0"/>
        <w:rPr>
          <w:rFonts w:ascii="仿宋" w:hAnsi="仿宋" w:cs="仿宋"/>
          <w:sz w:val="24"/>
        </w:rPr>
        <w:sectPr>
          <w:headerReference r:id="rId5" w:type="default"/>
          <w:footerReference r:id="rId6" w:type="default"/>
          <w:pgSz w:w="11905" w:h="16838"/>
          <w:pgMar w:top="1417" w:right="1134" w:bottom="1134" w:left="1587" w:header="964" w:footer="737" w:gutter="0"/>
          <w:pgNumType w:fmt="numberInDash" w:start="1"/>
          <w:cols w:space="0" w:num="1"/>
          <w:docGrid w:type="lines" w:linePitch="386" w:charSpace="0"/>
        </w:sectPr>
      </w:pPr>
      <w:r>
        <w:rPr>
          <w:rFonts w:hint="eastAsia" w:ascii="仿宋_GB2312" w:hAnsi="仿宋_GB2312" w:eastAsia="仿宋_GB2312" w:cs="仿宋_GB2312"/>
        </w:rPr>
        <w:fldChar w:fldCharType="end"/>
      </w:r>
    </w:p>
    <w:p>
      <w:pPr>
        <w:pStyle w:val="8"/>
        <w:keepNext w:val="0"/>
        <w:keepLines w:val="0"/>
        <w:pageBreakBefore w:val="0"/>
        <w:widowControl w:val="0"/>
        <w:kinsoku/>
        <w:wordWrap/>
        <w:overflowPunct/>
        <w:topLinePunct w:val="0"/>
        <w:autoSpaceDE/>
        <w:autoSpaceDN/>
        <w:bidi w:val="0"/>
        <w:adjustRightInd/>
        <w:snapToGrid/>
        <w:spacing w:line="800" w:lineRule="exact"/>
        <w:ind w:firstLine="0" w:firstLineChars="0"/>
        <w:jc w:val="center"/>
        <w:textAlignment w:val="auto"/>
        <w:outlineLvl w:val="0"/>
        <w:rPr>
          <w:rFonts w:ascii="仿宋_GB2312" w:hAnsi="仿宋_GB2312" w:eastAsia="仿宋_GB2312" w:cs="仿宋_GB2312"/>
          <w:b/>
          <w:sz w:val="32"/>
          <w:szCs w:val="32"/>
        </w:rPr>
      </w:pPr>
      <w:bookmarkStart w:id="0" w:name="_Toc456388858"/>
      <w:bookmarkStart w:id="1" w:name="_Toc22369"/>
      <w:bookmarkStart w:id="2" w:name="_Toc456389600"/>
      <w:r>
        <w:rPr>
          <w:rFonts w:hint="eastAsia" w:ascii="仿宋_GB2312" w:hAnsi="仿宋_GB2312" w:eastAsia="仿宋_GB2312" w:cs="仿宋_GB2312"/>
          <w:b/>
          <w:sz w:val="32"/>
          <w:szCs w:val="32"/>
        </w:rPr>
        <w:t>1 总则</w:t>
      </w:r>
      <w:bookmarkEnd w:id="0"/>
      <w:bookmarkEnd w:id="1"/>
      <w:bookmarkEnd w:id="2"/>
    </w:p>
    <w:p>
      <w:pPr>
        <w:keepNext w:val="0"/>
        <w:keepLines w:val="0"/>
        <w:pageBreakBefore w:val="0"/>
        <w:shd w:val="clear" w:color="auto" w:fill="FFFFFF"/>
        <w:kinsoku/>
        <w:wordWrap/>
        <w:overflowPunct/>
        <w:topLinePunct w:val="0"/>
        <w:autoSpaceDE/>
        <w:autoSpaceDN/>
        <w:bidi w:val="0"/>
        <w:adjustRightInd/>
        <w:snapToGrid/>
        <w:spacing w:line="600" w:lineRule="exact"/>
        <w:ind w:firstLine="640"/>
        <w:jc w:val="both"/>
        <w:textAlignment w:val="auto"/>
        <w:outlineLvl w:val="1"/>
        <w:rPr>
          <w:rStyle w:val="20"/>
          <w:rFonts w:ascii="黑体" w:hAnsi="黑体" w:eastAsia="黑体" w:cs="黑体"/>
          <w:b w:val="0"/>
          <w:bCs w:val="0"/>
          <w:kern w:val="0"/>
          <w:sz w:val="32"/>
          <w:szCs w:val="32"/>
        </w:rPr>
      </w:pPr>
      <w:bookmarkStart w:id="3" w:name="_Toc14899"/>
      <w:bookmarkStart w:id="4" w:name="_Toc456389601"/>
      <w:bookmarkStart w:id="5" w:name="_Toc456388859"/>
      <w:bookmarkStart w:id="6" w:name="_Toc21994"/>
      <w:r>
        <w:rPr>
          <w:rStyle w:val="20"/>
          <w:rFonts w:hint="eastAsia" w:ascii="黑体" w:hAnsi="黑体" w:eastAsia="黑体" w:cs="黑体"/>
          <w:b w:val="0"/>
          <w:bCs w:val="0"/>
          <w:kern w:val="0"/>
          <w:sz w:val="32"/>
          <w:szCs w:val="32"/>
        </w:rPr>
        <w:t>1.1 编制目的</w:t>
      </w:r>
      <w:bookmarkEnd w:id="3"/>
      <w:bookmarkEnd w:id="4"/>
      <w:bookmarkEnd w:id="5"/>
      <w:bookmarkEnd w:id="6"/>
    </w:p>
    <w:p>
      <w:pPr>
        <w:pStyle w:val="13"/>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科学有效预防处置本市生产安全事故，持续提高处置救援能力，规范应急管理和应急响应程序，建立统一指挥、相互支持、密切配合、协同应对事故的安全生产应急工作管理机制，及时有效地开展生产安全事故应急救援和处置工作，最大限度降低生产安全事故造成的人员伤亡、财产损失和社会危害，保障人民群众生命和财产安全。</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jc w:val="both"/>
        <w:textAlignment w:val="auto"/>
        <w:outlineLvl w:val="1"/>
        <w:rPr>
          <w:rStyle w:val="20"/>
          <w:rFonts w:ascii="黑体" w:hAnsi="黑体" w:eastAsia="黑体" w:cs="黑体"/>
          <w:b w:val="0"/>
          <w:bCs w:val="0"/>
          <w:kern w:val="0"/>
          <w:sz w:val="32"/>
          <w:szCs w:val="32"/>
        </w:rPr>
      </w:pPr>
      <w:bookmarkStart w:id="7" w:name="_Toc12573"/>
      <w:r>
        <w:rPr>
          <w:rStyle w:val="20"/>
          <w:rFonts w:hint="eastAsia" w:ascii="黑体" w:hAnsi="黑体" w:eastAsia="黑体" w:cs="黑体"/>
          <w:b w:val="0"/>
          <w:bCs w:val="0"/>
          <w:kern w:val="0"/>
          <w:sz w:val="32"/>
          <w:szCs w:val="32"/>
        </w:rPr>
        <w:t>1.2指导思想</w:t>
      </w:r>
      <w:bookmarkEnd w:id="7"/>
    </w:p>
    <w:p>
      <w:pPr>
        <w:keepNext w:val="0"/>
        <w:keepLines w:val="0"/>
        <w:pageBreakBefore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bookmarkStart w:id="8" w:name="_Toc329768017"/>
      <w:bookmarkEnd w:id="8"/>
      <w:bookmarkStart w:id="9" w:name="_Toc2759"/>
      <w:bookmarkStart w:id="10" w:name="_Toc456389602"/>
      <w:bookmarkStart w:id="11" w:name="_Toc456388860"/>
      <w:r>
        <w:rPr>
          <w:rFonts w:hint="eastAsia" w:ascii="仿宋_GB2312" w:hAnsi="仿宋_GB2312" w:eastAsia="仿宋_GB2312" w:cs="仿宋_GB2312"/>
          <w:sz w:val="32"/>
          <w:szCs w:val="32"/>
        </w:rPr>
        <w:t>以习近平新时代中国特色社会主义思想为指导,按照“安全第一、预防为主、综合治理”的方针，坚持以人为本、依法依规、符合实际、注重实效的原则，进一步明确应急职责、规范应急程序、细化保障措施，不断提升应对生产安全事故工作水平。</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jc w:val="both"/>
        <w:textAlignment w:val="auto"/>
        <w:outlineLvl w:val="1"/>
        <w:rPr>
          <w:rStyle w:val="20"/>
          <w:rFonts w:ascii="黑体" w:hAnsi="黑体" w:eastAsia="黑体" w:cs="黑体"/>
          <w:b w:val="0"/>
          <w:bCs w:val="0"/>
          <w:kern w:val="0"/>
          <w:sz w:val="32"/>
          <w:szCs w:val="32"/>
        </w:rPr>
      </w:pPr>
      <w:bookmarkStart w:id="12" w:name="_Toc25935"/>
      <w:r>
        <w:rPr>
          <w:rStyle w:val="20"/>
          <w:rFonts w:hint="eastAsia" w:ascii="黑体" w:hAnsi="黑体" w:eastAsia="黑体" w:cs="黑体"/>
          <w:b w:val="0"/>
          <w:bCs w:val="0"/>
          <w:kern w:val="0"/>
          <w:sz w:val="32"/>
          <w:szCs w:val="32"/>
        </w:rPr>
        <w:t>1.3编制依据</w:t>
      </w:r>
      <w:bookmarkEnd w:id="9"/>
      <w:bookmarkEnd w:id="10"/>
      <w:bookmarkEnd w:id="11"/>
      <w:bookmarkEnd w:id="12"/>
    </w:p>
    <w:p>
      <w:pPr>
        <w:keepNext w:val="0"/>
        <w:keepLines w:val="0"/>
        <w:pageBreakBefore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bookmarkStart w:id="13" w:name="_Toc329768018"/>
      <w:bookmarkEnd w:id="13"/>
      <w:r>
        <w:rPr>
          <w:rFonts w:hint="eastAsia" w:ascii="仿宋_GB2312" w:hAnsi="仿宋_GB2312" w:eastAsia="仿宋_GB2312" w:cs="仿宋_GB2312"/>
          <w:sz w:val="32"/>
          <w:szCs w:val="32"/>
        </w:rPr>
        <w:t>依据《中华人民共和国突发事件应对法》《中华人民共和国安全生产法》《生产安全事故应急条例》《生产安全事故报告和调查处理条例》《突发事件应急预案管理办法》《生产安全事故应急预案管理办法》《内蒙古自治区安全生产条例》《内蒙古自治区安全生产事故应急预案》《巴彦淖尔市突发事件总体应急预案》等法律法规和规范性文件，制定本预案</w:t>
      </w:r>
      <w:bookmarkStart w:id="14" w:name="_Toc28061"/>
      <w:r>
        <w:rPr>
          <w:rFonts w:hint="eastAsia" w:ascii="仿宋_GB2312" w:hAnsi="仿宋_GB2312" w:eastAsia="仿宋_GB2312" w:cs="仿宋_GB2312"/>
          <w:sz w:val="32"/>
          <w:szCs w:val="32"/>
        </w:rPr>
        <w:t>。</w:t>
      </w:r>
    </w:p>
    <w:p>
      <w:pPr>
        <w:keepNext w:val="0"/>
        <w:keepLines w:val="0"/>
        <w:pageBreakBefore w:val="0"/>
        <w:shd w:val="clear" w:color="auto" w:fill="FFFFFF"/>
        <w:kinsoku/>
        <w:wordWrap/>
        <w:overflowPunct/>
        <w:topLinePunct w:val="0"/>
        <w:autoSpaceDE/>
        <w:autoSpaceDN/>
        <w:bidi w:val="0"/>
        <w:adjustRightInd/>
        <w:snapToGrid/>
        <w:spacing w:line="600" w:lineRule="exact"/>
        <w:ind w:firstLine="640"/>
        <w:jc w:val="both"/>
        <w:textAlignment w:val="auto"/>
        <w:outlineLvl w:val="1"/>
        <w:rPr>
          <w:rStyle w:val="20"/>
          <w:rFonts w:ascii="黑体" w:hAnsi="黑体" w:eastAsia="黑体" w:cs="黑体"/>
          <w:b w:val="0"/>
          <w:bCs w:val="0"/>
          <w:kern w:val="0"/>
          <w:sz w:val="32"/>
          <w:szCs w:val="32"/>
        </w:rPr>
      </w:pPr>
      <w:bookmarkStart w:id="15" w:name="_Toc456389606"/>
      <w:bookmarkStart w:id="16" w:name="_Toc456388864"/>
      <w:bookmarkStart w:id="17" w:name="_Toc22730"/>
      <w:r>
        <w:rPr>
          <w:rStyle w:val="20"/>
          <w:rFonts w:hint="eastAsia" w:ascii="黑体" w:hAnsi="黑体" w:eastAsia="黑体" w:cs="黑体"/>
          <w:b w:val="0"/>
          <w:bCs w:val="0"/>
          <w:kern w:val="0"/>
          <w:sz w:val="32"/>
          <w:szCs w:val="32"/>
        </w:rPr>
        <w:t>1.4适用范围</w:t>
      </w:r>
      <w:bookmarkEnd w:id="14"/>
      <w:bookmarkEnd w:id="15"/>
      <w:bookmarkEnd w:id="16"/>
      <w:bookmarkEnd w:id="17"/>
    </w:p>
    <w:p>
      <w:pPr>
        <w:keepNext w:val="0"/>
        <w:keepLines w:val="0"/>
        <w:pageBreakBefore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bookmarkStart w:id="18" w:name="_Toc329768022"/>
      <w:bookmarkEnd w:id="18"/>
      <w:r>
        <w:rPr>
          <w:rFonts w:hint="eastAsia" w:ascii="仿宋_GB2312" w:hAnsi="仿宋_GB2312" w:eastAsia="仿宋_GB2312" w:cs="仿宋_GB2312"/>
          <w:sz w:val="32"/>
          <w:szCs w:val="32"/>
        </w:rPr>
        <w:t xml:space="preserve">本预案适用于下列生产安全事故的应对工作： </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Ⅲ级（较大生产事故）生产安全事故的应急救援工作；Ⅱ级（重大生产安全事故）、Ⅰ级（特别重大生产安全事故）生产安全事故先期处置工作，同时接受上级应急指挥部指挥；</w:t>
      </w:r>
    </w:p>
    <w:p>
      <w:pPr>
        <w:numPr>
          <w:ilvl w:val="0"/>
          <w:numId w:val="1"/>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超出旗县区人民政府、巴彦淖尔经济技术开发区管委会、甘其毛都口岸管委会应急处置能力，或者跨旗县区行政区域、涉及多个领域（行业和部门）的生产安全事故；</w:t>
      </w:r>
    </w:p>
    <w:p>
      <w:pPr>
        <w:numPr>
          <w:ilvl w:val="0"/>
          <w:numId w:val="1"/>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需要市政府处置的其他生产安全事故。</w:t>
      </w:r>
    </w:p>
    <w:p>
      <w:pPr>
        <w:ind w:firstLine="2570" w:firstLineChars="8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生产安全事故响应等级表</w:t>
      </w:r>
    </w:p>
    <w:tbl>
      <w:tblPr>
        <w:tblStyle w:val="15"/>
        <w:tblpPr w:leftFromText="180" w:rightFromText="180" w:vertAnchor="text" w:horzAnchor="page" w:tblpX="1678" w:tblpY="329"/>
        <w:tblOverlap w:val="never"/>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782"/>
        <w:gridCol w:w="3428"/>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940" w:type="dxa"/>
          </w:tcPr>
          <w:p>
            <w:pPr>
              <w:ind w:firstLine="0" w:firstLineChars="0"/>
              <w:jc w:val="center"/>
              <w:rPr>
                <w:rFonts w:ascii="仿宋_GB2312" w:hAnsi="仿宋_GB2312" w:eastAsia="仿宋_GB2312" w:cs="仿宋_GB2312"/>
                <w:b/>
                <w:bCs/>
                <w:sz w:val="24"/>
              </w:rPr>
            </w:pPr>
            <w:r>
              <w:rPr>
                <w:rFonts w:hint="eastAsia" w:ascii="仿宋_GB2312" w:hAnsi="仿宋_GB2312" w:eastAsia="仿宋_GB2312" w:cs="仿宋_GB2312"/>
                <w:b/>
                <w:bCs/>
                <w:sz w:val="24"/>
              </w:rPr>
              <w:t>事故</w:t>
            </w:r>
          </w:p>
          <w:p>
            <w:pPr>
              <w:ind w:firstLine="0" w:firstLineChars="0"/>
              <w:jc w:val="center"/>
              <w:rPr>
                <w:rFonts w:ascii="仿宋_GB2312" w:hAnsi="仿宋_GB2312" w:eastAsia="仿宋_GB2312" w:cs="仿宋_GB2312"/>
                <w:b/>
                <w:bCs/>
                <w:sz w:val="24"/>
              </w:rPr>
            </w:pPr>
            <w:r>
              <w:rPr>
                <w:rFonts w:hint="eastAsia" w:ascii="仿宋_GB2312" w:hAnsi="仿宋_GB2312" w:eastAsia="仿宋_GB2312" w:cs="仿宋_GB2312"/>
                <w:b/>
                <w:bCs/>
                <w:sz w:val="24"/>
              </w:rPr>
              <w:t>分类</w:t>
            </w:r>
          </w:p>
        </w:tc>
        <w:tc>
          <w:tcPr>
            <w:tcW w:w="782" w:type="dxa"/>
          </w:tcPr>
          <w:p>
            <w:pPr>
              <w:ind w:firstLine="0" w:firstLineChars="0"/>
              <w:jc w:val="both"/>
              <w:rPr>
                <w:rFonts w:ascii="仿宋_GB2312" w:hAnsi="仿宋_GB2312" w:eastAsia="仿宋_GB2312" w:cs="仿宋_GB2312"/>
                <w:b/>
                <w:bCs/>
                <w:sz w:val="24"/>
              </w:rPr>
            </w:pPr>
            <w:r>
              <w:rPr>
                <w:rFonts w:hint="eastAsia" w:ascii="仿宋_GB2312" w:hAnsi="仿宋_GB2312" w:eastAsia="仿宋_GB2312" w:cs="仿宋_GB2312"/>
                <w:b/>
                <w:bCs/>
                <w:sz w:val="24"/>
              </w:rPr>
              <w:t>事故</w:t>
            </w:r>
          </w:p>
          <w:p>
            <w:pPr>
              <w:ind w:firstLine="0" w:firstLineChars="0"/>
              <w:jc w:val="both"/>
              <w:rPr>
                <w:rFonts w:ascii="仿宋_GB2312" w:hAnsi="仿宋_GB2312" w:eastAsia="仿宋_GB2312" w:cs="仿宋_GB2312"/>
                <w:b/>
                <w:bCs/>
                <w:sz w:val="24"/>
              </w:rPr>
            </w:pPr>
            <w:r>
              <w:rPr>
                <w:rFonts w:hint="eastAsia" w:ascii="仿宋_GB2312" w:hAnsi="仿宋_GB2312" w:eastAsia="仿宋_GB2312" w:cs="仿宋_GB2312"/>
                <w:b/>
                <w:bCs/>
                <w:sz w:val="24"/>
              </w:rPr>
              <w:t>等级</w:t>
            </w:r>
          </w:p>
        </w:tc>
        <w:tc>
          <w:tcPr>
            <w:tcW w:w="3428" w:type="dxa"/>
            <w:vAlign w:val="center"/>
          </w:tcPr>
          <w:p>
            <w:pPr>
              <w:ind w:firstLine="480"/>
              <w:jc w:val="center"/>
              <w:rPr>
                <w:rFonts w:ascii="仿宋_GB2312" w:hAnsi="仿宋_GB2312" w:eastAsia="仿宋_GB2312" w:cs="仿宋_GB2312"/>
                <w:b/>
                <w:bCs/>
                <w:sz w:val="24"/>
              </w:rPr>
            </w:pPr>
            <w:r>
              <w:rPr>
                <w:rFonts w:hint="eastAsia" w:ascii="仿宋_GB2312" w:hAnsi="仿宋_GB2312" w:eastAsia="仿宋_GB2312" w:cs="仿宋_GB2312"/>
                <w:b/>
                <w:bCs/>
                <w:sz w:val="24"/>
              </w:rPr>
              <w:t>死亡人员（含失踪）</w:t>
            </w:r>
          </w:p>
        </w:tc>
        <w:tc>
          <w:tcPr>
            <w:tcW w:w="3408" w:type="dxa"/>
            <w:vAlign w:val="center"/>
          </w:tcPr>
          <w:p>
            <w:pPr>
              <w:ind w:firstLine="480"/>
              <w:jc w:val="center"/>
              <w:rPr>
                <w:rFonts w:ascii="仿宋_GB2312" w:hAnsi="仿宋_GB2312" w:eastAsia="仿宋_GB2312" w:cs="仿宋_GB2312"/>
                <w:b/>
                <w:bCs/>
                <w:sz w:val="24"/>
              </w:rPr>
            </w:pPr>
            <w:r>
              <w:rPr>
                <w:rFonts w:hint="eastAsia" w:ascii="仿宋_GB2312" w:hAnsi="仿宋_GB2312" w:eastAsia="仿宋_GB2312" w:cs="仿宋_GB2312"/>
                <w:b/>
                <w:bCs/>
                <w:sz w:val="24"/>
              </w:rPr>
              <w:t>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40" w:type="dxa"/>
            <w:vAlign w:val="center"/>
          </w:tcPr>
          <w:p>
            <w:pPr>
              <w:spacing w:line="400" w:lineRule="exact"/>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特别</w:t>
            </w:r>
          </w:p>
          <w:p>
            <w:pPr>
              <w:spacing w:line="400" w:lineRule="exact"/>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重大</w:t>
            </w:r>
          </w:p>
        </w:tc>
        <w:tc>
          <w:tcPr>
            <w:tcW w:w="782" w:type="dxa"/>
            <w:vAlign w:val="center"/>
          </w:tcPr>
          <w:p>
            <w:pPr>
              <w:spacing w:line="400" w:lineRule="exact"/>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Ⅰ级</w:t>
            </w:r>
          </w:p>
        </w:tc>
        <w:tc>
          <w:tcPr>
            <w:tcW w:w="3428" w:type="dxa"/>
            <w:vAlign w:val="center"/>
          </w:tcPr>
          <w:p>
            <w:pPr>
              <w:spacing w:line="400" w:lineRule="exact"/>
              <w:ind w:firstLine="0" w:firstLineChars="0"/>
              <w:jc w:val="both"/>
              <w:rPr>
                <w:rFonts w:ascii="仿宋_GB2312" w:hAnsi="仿宋_GB2312" w:eastAsia="仿宋_GB2312" w:cs="仿宋_GB2312"/>
                <w:sz w:val="24"/>
              </w:rPr>
            </w:pPr>
            <w:r>
              <w:rPr>
                <w:rFonts w:hint="eastAsia" w:ascii="仿宋_GB2312" w:hAnsi="仿宋_GB2312" w:eastAsia="仿宋_GB2312" w:cs="仿宋_GB2312"/>
                <w:sz w:val="24"/>
              </w:rPr>
              <w:t>造成30人以上死亡，或者100人以上重伤；其中，事故造成的急性</w:t>
            </w:r>
            <w:r>
              <w:fldChar w:fldCharType="begin"/>
            </w:r>
            <w:r>
              <w:instrText xml:space="preserve"> HYPERLINK "https://www.baidu.com/s?wd=%E5%B7%A5%E4%B8%9A%E4%B8%AD%E6%AF%92&amp;tn=SE_PcZhidaonwhc_ngpagmjz&amp;rsv_dl=gh_pc_zhidao" \t "https://zhidao.baidu.com/question/_blank" </w:instrText>
            </w:r>
            <w:r>
              <w:fldChar w:fldCharType="separate"/>
            </w:r>
            <w:r>
              <w:rPr>
                <w:rFonts w:hint="eastAsia" w:ascii="仿宋_GB2312" w:hAnsi="仿宋_GB2312" w:eastAsia="仿宋_GB2312" w:cs="仿宋_GB2312"/>
                <w:sz w:val="24"/>
              </w:rPr>
              <w:t>工业中毒</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的人数，也属于重伤的范围。</w:t>
            </w:r>
          </w:p>
        </w:tc>
        <w:tc>
          <w:tcPr>
            <w:tcW w:w="3408" w:type="dxa"/>
            <w:vAlign w:val="center"/>
          </w:tcPr>
          <w:p>
            <w:pPr>
              <w:spacing w:line="400" w:lineRule="exact"/>
              <w:ind w:firstLine="0" w:firstLineChars="0"/>
              <w:jc w:val="both"/>
              <w:rPr>
                <w:rFonts w:ascii="仿宋_GB2312" w:hAnsi="仿宋_GB2312" w:eastAsia="仿宋_GB2312" w:cs="仿宋_GB2312"/>
                <w:sz w:val="24"/>
              </w:rPr>
            </w:pPr>
            <w:r>
              <w:rPr>
                <w:rFonts w:hint="eastAsia" w:ascii="仿宋_GB2312" w:hAnsi="仿宋_GB2312" w:eastAsia="仿宋_GB2312" w:cs="仿宋_GB2312"/>
                <w:sz w:val="24"/>
              </w:rPr>
              <w:t>造成1亿元以上</w:t>
            </w:r>
            <w:r>
              <w:fldChar w:fldCharType="begin"/>
            </w:r>
            <w:r>
              <w:instrText xml:space="preserve"> HYPERLINK "https://www.baidu.com/s?wd=%E7%9B%B4%E6%8E%A5%E7%BB%8F%E6%B5%8E%E6%8D%9F%E5%A4%B1&amp;tn=SE_PcZhidaonwhc_ngpagmjz&amp;rsv_dl=gh_pc_zhidao" \t "https://zhidao.baidu.com/question/_blank" </w:instrText>
            </w:r>
            <w:r>
              <w:fldChar w:fldCharType="separate"/>
            </w:r>
            <w:r>
              <w:rPr>
                <w:rFonts w:hint="eastAsia" w:ascii="仿宋_GB2312" w:hAnsi="仿宋_GB2312" w:eastAsia="仿宋_GB2312" w:cs="仿宋_GB2312"/>
                <w:sz w:val="24"/>
              </w:rPr>
              <w:t>直接经济损失</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40" w:type="dxa"/>
            <w:vAlign w:val="center"/>
          </w:tcPr>
          <w:p>
            <w:pPr>
              <w:spacing w:line="400" w:lineRule="exact"/>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重大</w:t>
            </w:r>
          </w:p>
        </w:tc>
        <w:tc>
          <w:tcPr>
            <w:tcW w:w="782" w:type="dxa"/>
            <w:vAlign w:val="center"/>
          </w:tcPr>
          <w:p>
            <w:pPr>
              <w:spacing w:line="400" w:lineRule="exact"/>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Ⅱ级</w:t>
            </w:r>
          </w:p>
          <w:p>
            <w:pPr>
              <w:spacing w:line="400" w:lineRule="exact"/>
              <w:ind w:firstLine="480"/>
              <w:jc w:val="center"/>
              <w:rPr>
                <w:rFonts w:ascii="仿宋_GB2312" w:hAnsi="仿宋_GB2312" w:eastAsia="仿宋_GB2312" w:cs="仿宋_GB2312"/>
                <w:sz w:val="24"/>
              </w:rPr>
            </w:pPr>
          </w:p>
        </w:tc>
        <w:tc>
          <w:tcPr>
            <w:tcW w:w="3428" w:type="dxa"/>
            <w:vAlign w:val="center"/>
          </w:tcPr>
          <w:p>
            <w:pPr>
              <w:spacing w:line="400" w:lineRule="exact"/>
              <w:ind w:firstLine="0" w:firstLineChars="0"/>
              <w:jc w:val="both"/>
              <w:rPr>
                <w:rFonts w:ascii="仿宋_GB2312" w:hAnsi="仿宋_GB2312" w:eastAsia="仿宋_GB2312" w:cs="仿宋_GB2312"/>
                <w:sz w:val="24"/>
              </w:rPr>
            </w:pPr>
            <w:r>
              <w:rPr>
                <w:rFonts w:hint="eastAsia" w:ascii="仿宋_GB2312" w:hAnsi="仿宋_GB2312" w:eastAsia="仿宋_GB2312" w:cs="仿宋_GB2312"/>
                <w:sz w:val="24"/>
              </w:rPr>
              <w:t>造成10人以上30人以下死亡，或者50人以上100人以下重伤</w:t>
            </w:r>
          </w:p>
        </w:tc>
        <w:tc>
          <w:tcPr>
            <w:tcW w:w="3408" w:type="dxa"/>
            <w:vAlign w:val="center"/>
          </w:tcPr>
          <w:p>
            <w:pPr>
              <w:spacing w:line="400" w:lineRule="exact"/>
              <w:ind w:firstLine="0" w:firstLineChars="0"/>
              <w:jc w:val="both"/>
              <w:rPr>
                <w:rFonts w:ascii="仿宋_GB2312" w:hAnsi="仿宋_GB2312" w:eastAsia="仿宋_GB2312" w:cs="仿宋_GB2312"/>
                <w:sz w:val="24"/>
              </w:rPr>
            </w:pPr>
            <w:r>
              <w:rPr>
                <w:rFonts w:hint="eastAsia" w:ascii="仿宋_GB2312" w:hAnsi="仿宋_GB2312" w:eastAsia="仿宋_GB2312" w:cs="仿宋_GB2312"/>
                <w:sz w:val="24"/>
              </w:rPr>
              <w:t>造成5000万元以上1亿元以下</w:t>
            </w:r>
            <w:r>
              <w:fldChar w:fldCharType="begin"/>
            </w:r>
            <w:r>
              <w:instrText xml:space="preserve"> HYPERLINK "https://www.baidu.com/s?wd=%E7%9B%B4%E6%8E%A5%E7%BB%8F%E6%B5%8E%E6%8D%9F%E5%A4%B1&amp;tn=SE_PcZhidaonwhc_ngpagmjz&amp;rsv_dl=gh_pc_zhidao" \t "https://zhidao.baidu.com/question/_blank" </w:instrText>
            </w:r>
            <w:r>
              <w:fldChar w:fldCharType="separate"/>
            </w:r>
            <w:r>
              <w:rPr>
                <w:rFonts w:hint="eastAsia" w:ascii="仿宋_GB2312" w:hAnsi="仿宋_GB2312" w:eastAsia="仿宋_GB2312" w:cs="仿宋_GB2312"/>
                <w:sz w:val="24"/>
              </w:rPr>
              <w:t>直接经济损失</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40" w:type="dxa"/>
            <w:vAlign w:val="center"/>
          </w:tcPr>
          <w:p>
            <w:pPr>
              <w:spacing w:line="400" w:lineRule="exact"/>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较大</w:t>
            </w:r>
          </w:p>
        </w:tc>
        <w:tc>
          <w:tcPr>
            <w:tcW w:w="782" w:type="dxa"/>
            <w:vAlign w:val="center"/>
          </w:tcPr>
          <w:p>
            <w:pPr>
              <w:spacing w:line="400" w:lineRule="exact"/>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Ⅲ级</w:t>
            </w:r>
          </w:p>
          <w:p>
            <w:pPr>
              <w:spacing w:line="400" w:lineRule="exact"/>
              <w:ind w:firstLine="480"/>
              <w:jc w:val="center"/>
              <w:rPr>
                <w:rFonts w:ascii="仿宋_GB2312" w:hAnsi="仿宋_GB2312" w:eastAsia="仿宋_GB2312" w:cs="仿宋_GB2312"/>
                <w:sz w:val="24"/>
              </w:rPr>
            </w:pPr>
          </w:p>
        </w:tc>
        <w:tc>
          <w:tcPr>
            <w:tcW w:w="3428" w:type="dxa"/>
            <w:vAlign w:val="center"/>
          </w:tcPr>
          <w:p>
            <w:pPr>
              <w:spacing w:line="400" w:lineRule="exact"/>
              <w:ind w:firstLine="0" w:firstLineChars="0"/>
              <w:jc w:val="both"/>
              <w:rPr>
                <w:rFonts w:ascii="仿宋_GB2312" w:hAnsi="仿宋_GB2312" w:eastAsia="仿宋_GB2312" w:cs="仿宋_GB2312"/>
                <w:sz w:val="24"/>
              </w:rPr>
            </w:pPr>
            <w:r>
              <w:rPr>
                <w:rFonts w:hint="eastAsia" w:ascii="仿宋_GB2312" w:hAnsi="仿宋_GB2312" w:eastAsia="仿宋_GB2312" w:cs="仿宋_GB2312"/>
                <w:sz w:val="24"/>
              </w:rPr>
              <w:t>造成3人以上10人以下死亡，或者10人以上50人以下重伤</w:t>
            </w:r>
          </w:p>
        </w:tc>
        <w:tc>
          <w:tcPr>
            <w:tcW w:w="3408" w:type="dxa"/>
            <w:vAlign w:val="center"/>
          </w:tcPr>
          <w:p>
            <w:pPr>
              <w:spacing w:line="400" w:lineRule="exact"/>
              <w:ind w:firstLine="0" w:firstLineChars="0"/>
              <w:jc w:val="both"/>
              <w:rPr>
                <w:rFonts w:ascii="仿宋_GB2312" w:hAnsi="仿宋_GB2312" w:eastAsia="仿宋_GB2312" w:cs="仿宋_GB2312"/>
                <w:sz w:val="24"/>
              </w:rPr>
            </w:pPr>
            <w:r>
              <w:rPr>
                <w:rFonts w:hint="eastAsia" w:ascii="仿宋_GB2312" w:hAnsi="仿宋_GB2312" w:eastAsia="仿宋_GB2312" w:cs="仿宋_GB2312"/>
                <w:sz w:val="24"/>
              </w:rPr>
              <w:t>造成1000万元以上5000万元以下</w:t>
            </w:r>
            <w:r>
              <w:fldChar w:fldCharType="begin"/>
            </w:r>
            <w:r>
              <w:instrText xml:space="preserve"> HYPERLINK "https://www.baidu.com/s?wd=%E7%9B%B4%E6%8E%A5%E7%BB%8F%E6%B5%8E%E6%8D%9F%E5%A4%B1&amp;tn=SE_PcZhidaonwhc_ngpagmjz&amp;rsv_dl=gh_pc_zhidao" \t "https://zhidao.baidu.com/question/_blank" </w:instrText>
            </w:r>
            <w:r>
              <w:fldChar w:fldCharType="separate"/>
            </w:r>
            <w:r>
              <w:rPr>
                <w:rFonts w:hint="eastAsia" w:ascii="仿宋_GB2312" w:hAnsi="仿宋_GB2312" w:eastAsia="仿宋_GB2312" w:cs="仿宋_GB2312"/>
                <w:sz w:val="24"/>
              </w:rPr>
              <w:t>直接经济损失</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940" w:type="dxa"/>
            <w:vAlign w:val="center"/>
          </w:tcPr>
          <w:p>
            <w:pPr>
              <w:spacing w:line="400" w:lineRule="exact"/>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一般</w:t>
            </w:r>
          </w:p>
        </w:tc>
        <w:tc>
          <w:tcPr>
            <w:tcW w:w="782" w:type="dxa"/>
            <w:vAlign w:val="center"/>
          </w:tcPr>
          <w:p>
            <w:pPr>
              <w:spacing w:line="400" w:lineRule="exact"/>
              <w:ind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Ⅳ级</w:t>
            </w:r>
          </w:p>
          <w:p>
            <w:pPr>
              <w:spacing w:line="400" w:lineRule="exact"/>
              <w:ind w:firstLine="480"/>
              <w:jc w:val="center"/>
              <w:rPr>
                <w:rFonts w:ascii="仿宋_GB2312" w:hAnsi="仿宋_GB2312" w:eastAsia="仿宋_GB2312" w:cs="仿宋_GB2312"/>
                <w:sz w:val="24"/>
              </w:rPr>
            </w:pPr>
          </w:p>
        </w:tc>
        <w:tc>
          <w:tcPr>
            <w:tcW w:w="3428" w:type="dxa"/>
            <w:vAlign w:val="center"/>
          </w:tcPr>
          <w:p>
            <w:pPr>
              <w:spacing w:line="400" w:lineRule="exact"/>
              <w:ind w:firstLine="0" w:firstLineChars="0"/>
              <w:jc w:val="both"/>
              <w:rPr>
                <w:rFonts w:ascii="仿宋_GB2312" w:hAnsi="仿宋_GB2312" w:eastAsia="仿宋_GB2312" w:cs="仿宋_GB2312"/>
                <w:sz w:val="24"/>
              </w:rPr>
            </w:pPr>
            <w:r>
              <w:rPr>
                <w:rFonts w:hint="eastAsia" w:ascii="仿宋_GB2312" w:hAnsi="仿宋_GB2312" w:eastAsia="仿宋_GB2312" w:cs="仿宋_GB2312"/>
                <w:sz w:val="24"/>
              </w:rPr>
              <w:t>是指造成3人以下死亡，或者10人以下重伤</w:t>
            </w:r>
          </w:p>
        </w:tc>
        <w:tc>
          <w:tcPr>
            <w:tcW w:w="3408" w:type="dxa"/>
            <w:vAlign w:val="center"/>
          </w:tcPr>
          <w:p>
            <w:pPr>
              <w:spacing w:line="400" w:lineRule="exact"/>
              <w:ind w:firstLine="0" w:firstLineChars="0"/>
              <w:jc w:val="both"/>
              <w:rPr>
                <w:rFonts w:ascii="仿宋_GB2312" w:hAnsi="仿宋_GB2312" w:eastAsia="仿宋_GB2312" w:cs="仿宋_GB2312"/>
                <w:sz w:val="24"/>
              </w:rPr>
            </w:pPr>
            <w:r>
              <w:rPr>
                <w:rFonts w:hint="eastAsia" w:ascii="仿宋_GB2312" w:hAnsi="仿宋_GB2312" w:eastAsia="仿宋_GB2312" w:cs="仿宋_GB2312"/>
                <w:sz w:val="24"/>
              </w:rPr>
              <w:t>造成1000万元以下直接经济损失的事故。</w:t>
            </w:r>
          </w:p>
        </w:tc>
      </w:tr>
    </w:tbl>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事故类别（按行业领域）包括：</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（1）危险化学品生产安全事故；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（2）烟花爆竹经营安全事故；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（3）非煤矿山生产安全事故；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（4）冶金等工贸行业生产安全事故；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（5）民用爆炸物品生产安全事故；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（6）特种设备生产安全事故；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（7）建设工程生产安全事故；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（8）电力生产安全事故；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（9）道路运输事故；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（10）水上交通运输事故；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（11）民航运输事故；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（12）城镇燃气生产安全事故；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（13）煤矿生产安全事故；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（14）陆上石油和天然气开采生产安全事故；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（15）农牧业生产安全事故；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（16）铁路运输生产安全事故；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（17）油气长输管道生产安全事故；</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rPr>
      </w:pPr>
      <w:r>
        <w:rPr>
          <w:rFonts w:hint="eastAsia" w:ascii="仿宋_GB2312" w:hAnsi="仿宋_GB2312" w:eastAsia="仿宋_GB2312" w:cs="仿宋_GB2312"/>
          <w:sz w:val="32"/>
          <w:szCs w:val="32"/>
        </w:rPr>
        <w:t>（18）其他行业生产安全事故。</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jc w:val="both"/>
        <w:textAlignment w:val="auto"/>
        <w:outlineLvl w:val="1"/>
        <w:rPr>
          <w:rStyle w:val="20"/>
          <w:rFonts w:ascii="黑体" w:hAnsi="黑体" w:eastAsia="黑体" w:cs="黑体"/>
          <w:b w:val="0"/>
          <w:bCs w:val="0"/>
          <w:kern w:val="0"/>
          <w:sz w:val="32"/>
          <w:szCs w:val="32"/>
        </w:rPr>
      </w:pPr>
      <w:bookmarkStart w:id="19" w:name="_Toc456389607"/>
      <w:bookmarkStart w:id="20" w:name="_Toc27088"/>
      <w:bookmarkStart w:id="21" w:name="_Toc18075"/>
      <w:bookmarkStart w:id="22" w:name="_Toc456388865"/>
      <w:r>
        <w:rPr>
          <w:rStyle w:val="20"/>
          <w:rFonts w:hint="eastAsia" w:ascii="黑体" w:hAnsi="黑体" w:eastAsia="黑体" w:cs="黑体"/>
          <w:b w:val="0"/>
          <w:bCs w:val="0"/>
          <w:kern w:val="0"/>
          <w:sz w:val="32"/>
          <w:szCs w:val="32"/>
        </w:rPr>
        <w:t>1.5应急预案体系</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巴彦淖尔市生产安全事故应急救援预案体系由本预案、各行业专项预案、部门预案、旗县区人民政府、巴彦淖尔经济技术开发区管委会、甘其毛都口岸管委会生产安全应急预案及企业预案组成。</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jc w:val="both"/>
        <w:textAlignment w:val="auto"/>
        <w:outlineLvl w:val="1"/>
        <w:rPr>
          <w:rStyle w:val="20"/>
          <w:rFonts w:ascii="黑体" w:hAnsi="黑体" w:eastAsia="黑体" w:cs="黑体"/>
          <w:b w:val="0"/>
          <w:bCs w:val="0"/>
          <w:kern w:val="0"/>
          <w:sz w:val="32"/>
          <w:szCs w:val="32"/>
        </w:rPr>
      </w:pPr>
      <w:bookmarkStart w:id="23" w:name="_Toc329768023"/>
      <w:bookmarkEnd w:id="23"/>
      <w:bookmarkStart w:id="24" w:name="_Toc8495"/>
      <w:bookmarkStart w:id="25" w:name="_Toc456389608"/>
      <w:bookmarkStart w:id="26" w:name="_Toc456388866"/>
      <w:bookmarkStart w:id="27" w:name="_Toc24908"/>
      <w:r>
        <w:rPr>
          <w:rStyle w:val="20"/>
          <w:rFonts w:hint="eastAsia" w:ascii="黑体" w:hAnsi="黑体" w:eastAsia="黑体" w:cs="黑体"/>
          <w:b w:val="0"/>
          <w:bCs w:val="0"/>
          <w:kern w:val="0"/>
          <w:sz w:val="32"/>
          <w:szCs w:val="32"/>
        </w:rPr>
        <w:t>1.6工作原则</w:t>
      </w:r>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以人为本，安全第一。把保障人民群众的生命安全和身体健康、最大程度地预防和减少生产安全事故造成的人员伤亡作为首要任务，切实加强应急救援人员的安全防护，充分发挥人的主观能动性，充分发挥专业救援力量的骨干作用和人民群众的基础作用。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2.统一领导，分级负责。在市委、政府的统一领导下，各部门按照各自职责和权限，负责有关生产安全事故的应急管理和应急处置工作。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3.依靠科学，依法规范。采用先进技术，充分发挥专家作用，实行科学民主决策。采用先进的救援装备和技术，增强应急救援能力。依法规范应急救援工作，确保应急预案的科学性、权威性和可操作性。 </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预防为主，平战结合。坚持生产安全事故应急与预防工作相结合。各有关行业部门要按照规定职责做好事故预防工作以及事故发生后的事故调查处理等事宜，做好风险评估、物资储备、队伍建设、预案演练等工作。  </w:t>
      </w:r>
      <w:bookmarkStart w:id="28" w:name="_Toc27555"/>
      <w:bookmarkStart w:id="29" w:name="_Toc456388867"/>
      <w:bookmarkStart w:id="30" w:name="_Toc456389609"/>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pStyle w:val="8"/>
        <w:keepNext w:val="0"/>
        <w:keepLines w:val="0"/>
        <w:pageBreakBefore w:val="0"/>
        <w:widowControl w:val="0"/>
        <w:kinsoku/>
        <w:wordWrap/>
        <w:overflowPunct/>
        <w:topLinePunct w:val="0"/>
        <w:autoSpaceDE/>
        <w:autoSpaceDN/>
        <w:bidi w:val="0"/>
        <w:adjustRightInd/>
        <w:snapToGrid/>
        <w:spacing w:line="800" w:lineRule="exact"/>
        <w:ind w:firstLine="0" w:firstLineChars="0"/>
        <w:jc w:val="center"/>
        <w:textAlignment w:val="auto"/>
        <w:outlineLvl w:val="0"/>
        <w:rPr>
          <w:rFonts w:hint="eastAsia" w:ascii="仿宋_GB2312" w:hAnsi="仿宋_GB2312" w:eastAsia="仿宋_GB2312" w:cs="仿宋_GB2312"/>
          <w:b/>
          <w:sz w:val="32"/>
          <w:szCs w:val="32"/>
        </w:rPr>
      </w:pPr>
      <w:bookmarkStart w:id="31" w:name="_Toc29792"/>
      <w:r>
        <w:rPr>
          <w:rFonts w:hint="eastAsia" w:ascii="仿宋_GB2312" w:hAnsi="仿宋_GB2312" w:eastAsia="仿宋_GB2312" w:cs="仿宋_GB2312"/>
          <w:b/>
          <w:sz w:val="32"/>
          <w:szCs w:val="32"/>
        </w:rPr>
        <w:t xml:space="preserve">2 </w:t>
      </w:r>
      <w:bookmarkEnd w:id="28"/>
      <w:bookmarkEnd w:id="29"/>
      <w:bookmarkEnd w:id="30"/>
      <w:bookmarkStart w:id="32" w:name="_Toc329768028"/>
      <w:bookmarkEnd w:id="32"/>
      <w:bookmarkStart w:id="33" w:name="_Toc13416"/>
      <w:bookmarkStart w:id="34" w:name="_Toc2184"/>
      <w:r>
        <w:rPr>
          <w:rFonts w:hint="eastAsia" w:ascii="仿宋_GB2312" w:hAnsi="仿宋_GB2312" w:eastAsia="仿宋_GB2312" w:cs="仿宋_GB2312"/>
          <w:b/>
          <w:sz w:val="32"/>
          <w:szCs w:val="32"/>
        </w:rPr>
        <w:t>组织机构体系及职责</w:t>
      </w:r>
      <w:bookmarkEnd w:id="31"/>
    </w:p>
    <w:p>
      <w:pPr>
        <w:shd w:val="clear" w:color="auto" w:fill="FFFFFF"/>
        <w:spacing w:line="720" w:lineRule="exact"/>
        <w:ind w:firstLine="640"/>
        <w:jc w:val="both"/>
        <w:outlineLvl w:val="1"/>
        <w:rPr>
          <w:rStyle w:val="20"/>
          <w:rFonts w:ascii="黑体" w:hAnsi="黑体" w:eastAsia="黑体" w:cs="黑体"/>
          <w:b w:val="0"/>
          <w:bCs w:val="0"/>
          <w:kern w:val="0"/>
          <w:sz w:val="32"/>
          <w:szCs w:val="32"/>
        </w:rPr>
      </w:pPr>
      <w:bookmarkStart w:id="35" w:name="_Toc8949"/>
      <w:r>
        <w:rPr>
          <w:rStyle w:val="20"/>
          <w:rFonts w:hint="eastAsia" w:ascii="黑体" w:hAnsi="黑体" w:eastAsia="黑体" w:cs="黑体"/>
          <w:b w:val="0"/>
          <w:bCs w:val="0"/>
          <w:kern w:val="0"/>
          <w:sz w:val="32"/>
          <w:szCs w:val="32"/>
        </w:rPr>
        <w:t>2.1 领导机构及职责</w:t>
      </w:r>
      <w:bookmarkEnd w:id="35"/>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巴彦淖尔市委、政府统一领导全市生产安全事故应急处置工作。</w:t>
      </w:r>
    </w:p>
    <w:p>
      <w:pPr>
        <w:pStyle w:val="2"/>
        <w:ind w:firstLine="0" w:firstLineChars="0"/>
      </w:pPr>
      <w:r>
        <w:rPr>
          <w:rFonts w:hint="eastAsia" w:ascii="仿宋_GB2312" w:hAnsi="仿宋_GB2312" w:cs="仿宋_GB2312"/>
          <w:szCs w:val="32"/>
        </w:rPr>
        <w:t>市委、政府成立巴彦淖尔市生产安全事故应急指挥部，指挥、协调和部署全市生产安全事故应急处置工作。其主要职责：</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1、领导、组织、协调、指挥全市生产安全事故应急管理和应急处置工作。</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2、负责生产安全事故应急救援重大事项的决策，适时发布启动应急响应程序和宣布终止应急响应状态的命令。</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3、协调巴彦淖尔军分区、武警巴彦淖尔市支队等有关部门和单位参加应急救援工作。紧急指挥调度各类应急储备物资、人员、设备。</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4、向自治区人民政府报告事故和救援情况，必要时请求协调支援。</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36" w:name="_Toc8820"/>
      <w:r>
        <w:rPr>
          <w:rStyle w:val="20"/>
          <w:rFonts w:hint="eastAsia" w:ascii="黑体" w:hAnsi="黑体" w:eastAsia="黑体" w:cs="黑体"/>
          <w:b w:val="0"/>
          <w:bCs w:val="0"/>
          <w:kern w:val="0"/>
          <w:sz w:val="32"/>
          <w:szCs w:val="32"/>
        </w:rPr>
        <w:t>2.2应急指挥机构组成</w:t>
      </w:r>
      <w:bookmarkEnd w:id="36"/>
    </w:p>
    <w:p>
      <w:pPr>
        <w:pStyle w:val="13"/>
        <w:shd w:val="clear" w:color="auto" w:fill="FFFFFF"/>
        <w:spacing w:beforeAutospacing="0" w:afterAutospacing="0"/>
        <w:ind w:firstLine="640"/>
        <w:rPr>
          <w:rFonts w:ascii="仿宋_GB2312" w:hAnsi="仿宋_GB2312" w:eastAsia="仿宋_GB2312" w:cs="仿宋_GB2312"/>
          <w:kern w:val="2"/>
          <w:sz w:val="32"/>
          <w:szCs w:val="32"/>
          <w:u w:val="single"/>
        </w:rPr>
      </w:pPr>
      <w:r>
        <w:rPr>
          <w:rFonts w:hint="eastAsia" w:ascii="仿宋_GB2312" w:hAnsi="仿宋_GB2312" w:eastAsia="仿宋_GB2312" w:cs="仿宋_GB2312"/>
          <w:kern w:val="2"/>
          <w:sz w:val="32"/>
          <w:szCs w:val="32"/>
        </w:rPr>
        <w:t>总 指 挥：市委常委、政府副市长</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副总指挥：政府副市长</w:t>
      </w:r>
    </w:p>
    <w:p>
      <w:pPr>
        <w:pStyle w:val="13"/>
        <w:shd w:val="clear" w:color="auto" w:fill="FFFFFF"/>
        <w:spacing w:beforeAutospacing="0" w:afterAutospacing="0"/>
        <w:ind w:firstLine="2240" w:firstLineChars="7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市政府副秘书长</w:t>
      </w:r>
    </w:p>
    <w:p>
      <w:pPr>
        <w:pStyle w:val="13"/>
        <w:shd w:val="clear" w:color="auto" w:fill="FFFFFF"/>
        <w:spacing w:beforeAutospacing="0" w:afterAutospacing="0"/>
        <w:ind w:firstLine="2240" w:firstLineChars="7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市应急管理局局长</w:t>
      </w:r>
    </w:p>
    <w:p>
      <w:pPr>
        <w:pStyle w:val="13"/>
        <w:shd w:val="clear" w:color="auto" w:fill="FFFFFF"/>
        <w:spacing w:beforeAutospacing="0" w:afterAutospacing="0"/>
        <w:ind w:firstLine="2240" w:firstLineChars="7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巴彦淖尔军分区副司令员</w:t>
      </w:r>
    </w:p>
    <w:p>
      <w:pPr>
        <w:pStyle w:val="13"/>
        <w:shd w:val="clear" w:color="auto" w:fill="FFFFFF"/>
        <w:spacing w:beforeAutospacing="0" w:afterAutospacing="0"/>
        <w:ind w:firstLine="2240" w:firstLineChars="7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武警巴彦淖尔市支队支队长</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成员单位：市纪委监委、市委宣传部、公安局、检察院、市委网信办、发展改革委、应急管理局、工业和信息化局、市场监管局、财政局（国资委）、住建局、交通运输局、自然资源局、农牧局、水利局、林业和草原局、人社局、民政局、教育局、卫健委、商务局、生态环境局、民委、文化旅游广电局、体育局、气象局、科技局、司法局、审计局、统计局、退役军人事务局、医疗保障局、金融办、外事办、地震局、总工会、团市委、广播电视台、巴彦淖尔日报社、巴彦淖尔军分区、武警巴彦淖尔市支队、公安交管支队、消防救援支队、内蒙古森林消防总队直属大队巴市中队、临策铁路运输管理部、巴彦淖尔电业局、巴彦淖尔民航机场公司、联通公司巴彦淖尔市分公司、电信公司巴彦淖尔市分公司、移动公司巴彦淖尔市分公司。</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生产安全事故应急指挥部下设指挥部办公室，办公室设在市应急管理局，办公室主任由市应急管理局局长担任。</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37" w:name="_Toc31280"/>
      <w:r>
        <w:rPr>
          <w:rStyle w:val="20"/>
          <w:rFonts w:hint="eastAsia" w:ascii="黑体" w:hAnsi="黑体" w:eastAsia="黑体" w:cs="黑体"/>
          <w:b w:val="0"/>
          <w:bCs w:val="0"/>
          <w:kern w:val="0"/>
          <w:sz w:val="32"/>
          <w:szCs w:val="32"/>
        </w:rPr>
        <w:t>2.4 指挥部办公室职责</w:t>
      </w:r>
      <w:bookmarkEnd w:id="37"/>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1、承办应急指挥部的日常工作，负责全市生产安全事故应急综合协调、指导督查、检查等工作。</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2、负责全市生产安全事故应急救援体系的建设和管理，负责全市生产安全事故应急预案管理工作。</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3、指导、协调、检查各地区、各相关部门、各专业应急救援机构、有关生产经营单位做好生产安全事故预防、应急准备、应急处置等生产安全事故应急管理工作。</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统一规划安全生产应急救援力量和资源，指导、协调专业救援队伍不断提高装备水平、演练技术和应急能力，组织全市生产安全事故应急救援相关管理人员和专业人员的培训工作，组织全市生产安全事故综合应急演练。</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5、检查现场救援工作，收集险情和救援状况并向市应急指挥部报告，提出救援意见；配合进行事故调查，负责生产安全事故应急救援信息的发布。</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6、负责掌握各类应急资源信息及分布情况，充分发挥综合协调作用。</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7、负责向市人民政府及自治区应急管理厅报告生产安全事故和救援情况，必要时请求协调支援。</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8、协助市政府或指挥部完成有关生产安全事故应急处置的其他工作。</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38" w:name="_Toc18563"/>
      <w:r>
        <w:rPr>
          <w:rStyle w:val="20"/>
          <w:rFonts w:hint="eastAsia" w:ascii="黑体" w:hAnsi="黑体" w:eastAsia="黑体" w:cs="黑体"/>
          <w:b w:val="0"/>
          <w:bCs w:val="0"/>
          <w:kern w:val="0"/>
          <w:sz w:val="32"/>
          <w:szCs w:val="32"/>
        </w:rPr>
        <w:t>2.5应急救援组组成及职责</w:t>
      </w:r>
      <w:bookmarkEnd w:id="38"/>
    </w:p>
    <w:p>
      <w:pPr>
        <w:ind w:firstLine="640"/>
        <w:rPr>
          <w:rFonts w:ascii="仿宋_GB2312" w:hAnsi="仿宋_GB2312" w:eastAsia="仿宋_GB2312" w:cs="仿宋_GB2312"/>
          <w:sz w:val="30"/>
        </w:rPr>
      </w:pPr>
      <w:r>
        <w:rPr>
          <w:rFonts w:hint="eastAsia" w:ascii="仿宋_GB2312" w:hAnsi="仿宋_GB2312" w:eastAsia="仿宋_GB2312" w:cs="仿宋_GB2312"/>
          <w:sz w:val="32"/>
          <w:szCs w:val="32"/>
        </w:rPr>
        <w:t xml:space="preserve"> 按照应急救援需要，成立相应工作组，具体联动分工如下:</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1、抢险救援组：</w:t>
      </w:r>
      <w:r>
        <w:rPr>
          <w:rFonts w:hint="eastAsia" w:ascii="仿宋_GB2312" w:hAnsi="仿宋_GB2312" w:eastAsia="仿宋_GB2312" w:cs="仿宋_GB2312"/>
          <w:sz w:val="32"/>
          <w:szCs w:val="32"/>
        </w:rPr>
        <w:t>由应急管理局牵头，成员单位由消防救援支队、应急救援支队、森林消防巴彦淖尔中队、事故发生地人民政府、事故单位等组成。负责组织应急救援方案的实施，综合协调消防应急救援队伍及各种救援力量开展事故抢险救援和现场应急处置。</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2、治安保卫组：</w:t>
      </w:r>
      <w:r>
        <w:rPr>
          <w:rFonts w:hint="eastAsia" w:ascii="仿宋_GB2312" w:hAnsi="仿宋_GB2312" w:eastAsia="仿宋_GB2312" w:cs="仿宋_GB2312"/>
          <w:sz w:val="32"/>
          <w:szCs w:val="32"/>
        </w:rPr>
        <w:t>由市公安局牵头，成员单位由应急管理局、交通局、住建局、事故发生地人民政府、事故单位等有关部门组成。负责确定避难场所，制定疏散方案，组织有关力量对事故现场周围地区可能受到威胁的人群实施紧急疏散、撤离和安置，做好交通工具优先安排，确保运输安全畅通；负责生产安全事故区域的警戒、交通管制；负责对有关事故相关责任人实施监控及缉捕工作。</w:t>
      </w:r>
    </w:p>
    <w:p>
      <w:pPr>
        <w:spacing w:line="62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3、医疗救护组：</w:t>
      </w:r>
      <w:r>
        <w:rPr>
          <w:rFonts w:hint="eastAsia" w:ascii="仿宋_GB2312" w:hAnsi="仿宋_GB2312" w:eastAsia="仿宋_GB2312" w:cs="仿宋_GB2312"/>
          <w:sz w:val="32"/>
          <w:szCs w:val="32"/>
        </w:rPr>
        <w:t>由市卫健委牵头，成员单位由民政局、红十字会、市场监管局、医疗保障局、事故发生地人民政府、事故单位和各医疗机构等组成。负责组建医疗卫生应急专业技术队伍，根据需要赴现场开展医疗救治，疾病预防控制及卫生防疫等应急工作，为事故发生地提供药品、医疗设备、器械等，必要时组织动员红十字会及其他社会力量参与医疗卫生救助工作。</w:t>
      </w:r>
    </w:p>
    <w:p>
      <w:pPr>
        <w:spacing w:line="62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4、后勤保障组：</w:t>
      </w:r>
      <w:r>
        <w:rPr>
          <w:rFonts w:hint="eastAsia" w:ascii="仿宋_GB2312" w:hAnsi="仿宋_GB2312" w:eastAsia="仿宋_GB2312" w:cs="仿宋_GB2312"/>
          <w:sz w:val="32"/>
          <w:szCs w:val="32"/>
        </w:rPr>
        <w:t>由事故发生地人民政府牵头，成员单位由发改委、应急管理局、工信局、财政局、民政局、商务局、电业局、事故单位等组成。负责事故救援的物资保障、基本生活保障、资金保障、通讯保障、社会动员保障及电力供应保障等，保证应急救援后勤供给。</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5、现场监测组：</w:t>
      </w:r>
      <w:r>
        <w:rPr>
          <w:rFonts w:hint="eastAsia" w:ascii="仿宋_GB2312" w:hAnsi="仿宋_GB2312" w:eastAsia="仿宋_GB2312" w:cs="仿宋_GB2312"/>
          <w:sz w:val="32"/>
          <w:szCs w:val="32"/>
        </w:rPr>
        <w:t>由市生态环境局牵头，成员单位由自然资源局、气象局、卫健委、水利局、事发地人民政府、事故单位等组成。</w:t>
      </w:r>
    </w:p>
    <w:p>
      <w:pPr>
        <w:spacing w:line="62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负责生产安全事故现场环境气象监测，提供气象信息；开展事故现场周边环境污染状况监测、处置，确定污染物种类、浓度及污染范围。</w:t>
      </w:r>
    </w:p>
    <w:p>
      <w:pPr>
        <w:spacing w:line="62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6、善后处理组</w:t>
      </w:r>
      <w:r>
        <w:rPr>
          <w:rFonts w:hint="eastAsia" w:ascii="仿宋_GB2312" w:hAnsi="仿宋_GB2312" w:eastAsia="仿宋_GB2312" w:cs="仿宋_GB2312"/>
          <w:sz w:val="32"/>
          <w:szCs w:val="32"/>
        </w:rPr>
        <w:t>：由事故发生地人民政府牵头，成员单位由公安局、民政局、人力资源和社会保障局、保险机构等。负责善后处置和工伤保险相关事务，接待有关事故伤亡人员代表和家属，按照国家有关政策对事故伤亡人员进行处理，做好参加工伤保险人员待遇支付工作，负责事故受害单位和群众的财产理赔等工作。</w:t>
      </w:r>
    </w:p>
    <w:p>
      <w:pPr>
        <w:spacing w:line="62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7、新闻报道组：</w:t>
      </w:r>
      <w:r>
        <w:rPr>
          <w:rFonts w:hint="eastAsia" w:ascii="仿宋_GB2312" w:hAnsi="仿宋_GB2312" w:eastAsia="仿宋_GB2312" w:cs="仿宋_GB2312"/>
          <w:sz w:val="32"/>
          <w:szCs w:val="32"/>
        </w:rPr>
        <w:t>由市委宣传部牵头负责，成员单位由市委网信办、文化旅游广电局、应急管理局等组成。负责新闻发布，接受媒体采访，收集跟踪舆情，及时向上级或有关部门汇报通报情况。</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8、事故调查组：</w:t>
      </w:r>
      <w:r>
        <w:rPr>
          <w:rFonts w:hint="eastAsia" w:ascii="仿宋_GB2312" w:hAnsi="仿宋_GB2312" w:eastAsia="仿宋_GB2312" w:cs="仿宋_GB2312"/>
          <w:sz w:val="32"/>
          <w:szCs w:val="32"/>
        </w:rPr>
        <w:t>由市政府指定有关单位牵头，成员由纪委监委、检察院、公安局、应急管理局、行业主管部门、工会等组成，组织开展事故调查，按照有关规定提交事故调查报告。事故调查组可以聘请有关专家参与调查。</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9、生产经营单位：</w:t>
      </w:r>
      <w:r>
        <w:rPr>
          <w:rFonts w:hint="eastAsia" w:ascii="仿宋_GB2312" w:hAnsi="仿宋_GB2312" w:eastAsia="仿宋_GB2312" w:cs="仿宋_GB2312"/>
          <w:sz w:val="32"/>
          <w:szCs w:val="32"/>
        </w:rPr>
        <w:t>迅速启动本单位应急预案，做好现场应急处置，应急救援工作，控制事态扩大。</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10、其他社会团体：</w:t>
      </w:r>
      <w:r>
        <w:rPr>
          <w:rFonts w:hint="eastAsia" w:ascii="仿宋_GB2312" w:hAnsi="仿宋_GB2312" w:eastAsia="仿宋_GB2312" w:cs="仿宋_GB2312"/>
          <w:sz w:val="32"/>
          <w:szCs w:val="32"/>
        </w:rPr>
        <w:t>根据生产安全事故应急工作需要，在市生产安全事故应急指挥部的组织、协调下做好相关工作。</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39" w:name="_Toc5221"/>
      <w:r>
        <w:rPr>
          <w:rStyle w:val="20"/>
          <w:rFonts w:hint="eastAsia" w:ascii="黑体" w:hAnsi="黑体" w:eastAsia="黑体" w:cs="黑体"/>
          <w:b w:val="0"/>
          <w:bCs w:val="0"/>
          <w:kern w:val="0"/>
          <w:sz w:val="32"/>
          <w:szCs w:val="32"/>
        </w:rPr>
        <w:t>2.6 成员单位及职责</w:t>
      </w:r>
      <w:bookmarkEnd w:id="39"/>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在指挥部的统一领导下，各部门按照职责、权限和分工履行本部门生产安全事故的应急管理和应急处置工作，负责建立本部门的应急联动工作机制，制订、管理并实施本部门应急预案，做好相关专业领域的生产安全事故应对工作。</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1、市委宣传部：</w:t>
      </w:r>
      <w:r>
        <w:rPr>
          <w:rFonts w:hint="eastAsia" w:ascii="仿宋_GB2312" w:hAnsi="仿宋_GB2312" w:eastAsia="仿宋_GB2312" w:cs="仿宋_GB2312"/>
          <w:kern w:val="2"/>
          <w:sz w:val="32"/>
          <w:szCs w:val="32"/>
        </w:rPr>
        <w:t>负责组织协调应急救援宣传报道工作；负责组织指导各新闻单位对安全生产应急救援的宣传报道工作；负责组织协调事故应急救援及处置情况等的新闻发布工作。</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2、市纪委监委：</w:t>
      </w:r>
      <w:r>
        <w:rPr>
          <w:rFonts w:hint="eastAsia" w:ascii="仿宋_GB2312" w:hAnsi="仿宋_GB2312" w:eastAsia="仿宋_GB2312" w:cs="仿宋_GB2312"/>
          <w:kern w:val="2"/>
          <w:sz w:val="32"/>
          <w:szCs w:val="32"/>
        </w:rPr>
        <w:t>对各旗县区人民政府、巴彦淖尔经济开发区、甘其毛都口岸管委会及有关部门履行安全生产监督管理职责情况以及事故处置情况实施监督。</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3、市发展改革委：</w:t>
      </w:r>
      <w:r>
        <w:rPr>
          <w:rFonts w:hint="eastAsia" w:ascii="仿宋_GB2312" w:hAnsi="仿宋_GB2312" w:eastAsia="仿宋_GB2312" w:cs="仿宋_GB2312"/>
          <w:kern w:val="2"/>
          <w:sz w:val="32"/>
          <w:szCs w:val="32"/>
        </w:rPr>
        <w:t>负责把安全生产应急救援体系建设列入全市经济和社会发展规划之中；负责全市安全生产应急救援体系建设有关项目的审查、审批并列入年度投资计划；组织协调能源领域生产安全事故的应急救援工作。</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4、市工业和信息化局：</w:t>
      </w:r>
      <w:r>
        <w:rPr>
          <w:rFonts w:hint="eastAsia" w:ascii="仿宋_GB2312" w:hAnsi="仿宋_GB2312" w:eastAsia="仿宋_GB2312" w:cs="仿宋_GB2312"/>
          <w:kern w:val="2"/>
          <w:sz w:val="32"/>
          <w:szCs w:val="32"/>
        </w:rPr>
        <w:t>负责协调电力、通信领域做好相关区域电力、通信保障工作；负责全市民用爆炸物品生产企业和民用爆炸物品销售企业库区的安全事故应急工作。</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5、市财政局：</w:t>
      </w:r>
      <w:r>
        <w:rPr>
          <w:rFonts w:hint="eastAsia" w:ascii="仿宋_GB2312" w:hAnsi="仿宋_GB2312" w:eastAsia="仿宋_GB2312" w:cs="仿宋_GB2312"/>
          <w:kern w:val="2"/>
          <w:sz w:val="32"/>
          <w:szCs w:val="32"/>
        </w:rPr>
        <w:t>负责保障事故救援与处置所需相关资金。</w:t>
      </w:r>
    </w:p>
    <w:p>
      <w:pPr>
        <w:pStyle w:val="13"/>
        <w:shd w:val="clear" w:color="auto" w:fill="FFFFFF"/>
        <w:spacing w:beforeAutospacing="0" w:afterAutospacing="0" w:line="62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6、市住建局：</w:t>
      </w:r>
      <w:r>
        <w:rPr>
          <w:rFonts w:hint="eastAsia" w:ascii="仿宋_GB2312" w:hAnsi="仿宋_GB2312" w:eastAsia="仿宋_GB2312" w:cs="仿宋_GB2312"/>
          <w:kern w:val="2"/>
          <w:sz w:val="32"/>
          <w:szCs w:val="32"/>
        </w:rPr>
        <w:t>参与组织、协调和指挥房屋建筑和市政工程施工及城镇燃气生产安全事故应急救援；为房屋建筑和市政工程施工事故处置提供技术保障。</w:t>
      </w:r>
    </w:p>
    <w:p>
      <w:pPr>
        <w:pStyle w:val="13"/>
        <w:shd w:val="clear" w:color="auto" w:fill="FFFFFF"/>
        <w:spacing w:beforeAutospacing="0" w:afterAutospacing="0" w:line="620" w:lineRule="exact"/>
        <w:ind w:firstLine="64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7、市交通运输局：</w:t>
      </w:r>
      <w:r>
        <w:rPr>
          <w:rFonts w:hint="eastAsia" w:ascii="仿宋_GB2312" w:hAnsi="仿宋_GB2312" w:eastAsia="仿宋_GB2312" w:cs="仿宋_GB2312"/>
          <w:kern w:val="2"/>
          <w:sz w:val="32"/>
          <w:szCs w:val="32"/>
        </w:rPr>
        <w:t>参与组织、协调和指挥道路交通运输事故应急救援；负责组织、指挥事故状态下的公路交通运输保障工作；建立事故应急救援运输资源动态数据库，明确应急救援所需交通工具的数量、分布和功能，保障突发事故所需增援的交通运输工具；建立健全有关交通运输单位交通管制、线路规则和路障清除等保障措施。</w:t>
      </w:r>
    </w:p>
    <w:p>
      <w:pPr>
        <w:pStyle w:val="13"/>
        <w:shd w:val="clear" w:color="auto" w:fill="FFFFFF"/>
        <w:spacing w:beforeAutospacing="0" w:afterAutospacing="0" w:line="620" w:lineRule="exact"/>
        <w:ind w:firstLine="64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8、市自然资源局：</w:t>
      </w:r>
      <w:r>
        <w:rPr>
          <w:rFonts w:hint="eastAsia" w:ascii="仿宋_GB2312" w:hAnsi="仿宋_GB2312" w:eastAsia="仿宋_GB2312" w:cs="仿宋_GB2312"/>
          <w:kern w:val="2"/>
          <w:sz w:val="32"/>
          <w:szCs w:val="32"/>
        </w:rPr>
        <w:t>负责为事故发生现场及周边地区提供地质、水文地质、环境地质等资料；组织专家为事故现场救援及周边地质环境安全提出措施。</w:t>
      </w:r>
    </w:p>
    <w:p>
      <w:pPr>
        <w:pStyle w:val="13"/>
        <w:shd w:val="clear" w:color="auto" w:fill="FFFFFF"/>
        <w:spacing w:beforeAutospacing="0" w:afterAutospacing="0" w:line="620" w:lineRule="exact"/>
        <w:ind w:firstLine="64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9、市农牧局：</w:t>
      </w:r>
      <w:r>
        <w:rPr>
          <w:rFonts w:hint="eastAsia" w:ascii="仿宋_GB2312" w:hAnsi="仿宋_GB2312" w:eastAsia="仿宋_GB2312" w:cs="仿宋_GB2312"/>
          <w:kern w:val="2"/>
          <w:sz w:val="32"/>
          <w:szCs w:val="32"/>
        </w:rPr>
        <w:t>负责组织协调农牧渔业、农机等事故的应急救援工作。</w:t>
      </w:r>
    </w:p>
    <w:p>
      <w:pPr>
        <w:pStyle w:val="13"/>
        <w:shd w:val="clear" w:color="auto" w:fill="FFFFFF"/>
        <w:spacing w:beforeAutospacing="0" w:afterAutospacing="0" w:line="620" w:lineRule="exact"/>
        <w:ind w:firstLine="64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10、市水利局：</w:t>
      </w:r>
      <w:r>
        <w:rPr>
          <w:rFonts w:hint="eastAsia" w:ascii="仿宋_GB2312" w:hAnsi="仿宋_GB2312" w:eastAsia="仿宋_GB2312" w:cs="仿宋_GB2312"/>
          <w:kern w:val="2"/>
          <w:sz w:val="32"/>
          <w:szCs w:val="32"/>
        </w:rPr>
        <w:t>负责督促本系统涉及事故的单位启动应急预案。负责组织力量对江河、湖泊和水库等水利工程事故实施抢险救援，提出抢险技术方案，提供抢险救援技术资料和物资器材。</w:t>
      </w:r>
    </w:p>
    <w:p>
      <w:pPr>
        <w:pStyle w:val="13"/>
        <w:shd w:val="clear" w:color="auto" w:fill="FFFFFF"/>
        <w:spacing w:beforeAutospacing="0" w:afterAutospacing="0" w:line="620" w:lineRule="exact"/>
        <w:ind w:firstLine="64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11、市林业和草原局：</w:t>
      </w:r>
      <w:r>
        <w:rPr>
          <w:rFonts w:hint="eastAsia" w:ascii="仿宋_GB2312" w:hAnsi="仿宋_GB2312" w:eastAsia="仿宋_GB2312" w:cs="仿宋_GB2312"/>
          <w:kern w:val="2"/>
          <w:sz w:val="32"/>
          <w:szCs w:val="32"/>
        </w:rPr>
        <w:t>负责督促本系统涉及事故的单位启动应急预案。负责组织协调林木采伐和运输、林产品加工、林产化工以及森林资源综合利用等事故的应急救援工作。</w:t>
      </w:r>
    </w:p>
    <w:p>
      <w:pPr>
        <w:pStyle w:val="13"/>
        <w:shd w:val="clear" w:color="auto" w:fill="FFFFFF"/>
        <w:spacing w:beforeAutospacing="0" w:afterAutospacing="0"/>
        <w:ind w:firstLine="64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12、市公安局：</w:t>
      </w:r>
      <w:r>
        <w:rPr>
          <w:rFonts w:hint="eastAsia" w:ascii="仿宋_GB2312" w:hAnsi="仿宋_GB2312" w:eastAsia="仿宋_GB2312" w:cs="仿宋_GB2312"/>
          <w:kern w:val="2"/>
          <w:sz w:val="32"/>
          <w:szCs w:val="32"/>
        </w:rPr>
        <w:t>负责事故地区交通管制、现场保卫、人群疏散和安置区的治安管理工作；负责组织、协调、指挥道路交通事故应急救援工作；负责对事故现场失踪人员的搜救。</w:t>
      </w:r>
    </w:p>
    <w:p>
      <w:pPr>
        <w:pStyle w:val="13"/>
        <w:shd w:val="clear" w:color="auto" w:fill="FFFFFF"/>
        <w:spacing w:beforeAutospacing="0" w:afterAutospacing="0"/>
        <w:ind w:firstLine="64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13、市人社局：</w:t>
      </w:r>
      <w:r>
        <w:rPr>
          <w:rFonts w:hint="eastAsia" w:ascii="仿宋_GB2312" w:hAnsi="仿宋_GB2312" w:eastAsia="仿宋_GB2312" w:cs="仿宋_GB2312"/>
          <w:kern w:val="2"/>
          <w:sz w:val="32"/>
          <w:szCs w:val="32"/>
        </w:rPr>
        <w:t>负责全市工伤保险工作，确保生产安全事故发生后，伤亡人员、参与救援人员工伤保险待遇的及时足额支付。</w:t>
      </w:r>
    </w:p>
    <w:p>
      <w:pPr>
        <w:pStyle w:val="13"/>
        <w:shd w:val="clear" w:color="auto" w:fill="FFFFFF"/>
        <w:spacing w:beforeAutospacing="0" w:afterAutospacing="0"/>
        <w:ind w:firstLine="64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14、市民政局：</w:t>
      </w:r>
      <w:r>
        <w:rPr>
          <w:rFonts w:hint="eastAsia" w:ascii="仿宋_GB2312" w:hAnsi="仿宋_GB2312" w:eastAsia="仿宋_GB2312" w:cs="仿宋_GB2312"/>
          <w:kern w:val="2"/>
          <w:sz w:val="32"/>
          <w:szCs w:val="32"/>
        </w:rPr>
        <w:t>负责按照职责做好抢险救援有关工作，保障受灾人员基本生活。</w:t>
      </w:r>
    </w:p>
    <w:p>
      <w:pPr>
        <w:pStyle w:val="13"/>
        <w:shd w:val="clear" w:color="auto" w:fill="FFFFFF"/>
        <w:spacing w:beforeAutospacing="0" w:afterAutospacing="0" w:line="620" w:lineRule="exact"/>
        <w:ind w:firstLine="64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15、市教育局：</w:t>
      </w:r>
      <w:r>
        <w:rPr>
          <w:rFonts w:hint="eastAsia" w:ascii="仿宋_GB2312" w:hAnsi="仿宋_GB2312" w:eastAsia="仿宋_GB2312" w:cs="仿宋_GB2312"/>
          <w:kern w:val="2"/>
          <w:sz w:val="32"/>
          <w:szCs w:val="32"/>
        </w:rPr>
        <w:t>负责指导学校和基层教育行政部门组织师生员工的疏散、抢救，稳定师生及家长情绪，妥善安置受灾地区的学生，保证学校正常的教学秩序。</w:t>
      </w:r>
    </w:p>
    <w:p>
      <w:pPr>
        <w:pStyle w:val="13"/>
        <w:shd w:val="clear" w:color="auto" w:fill="FFFFFF"/>
        <w:spacing w:beforeAutospacing="0" w:afterAutospacing="0" w:line="620" w:lineRule="exact"/>
        <w:ind w:firstLine="64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16、市文化旅游广电局：</w:t>
      </w:r>
      <w:r>
        <w:rPr>
          <w:rFonts w:hint="eastAsia" w:ascii="仿宋_GB2312" w:hAnsi="仿宋_GB2312" w:eastAsia="仿宋_GB2312" w:cs="仿宋_GB2312"/>
          <w:kern w:val="2"/>
          <w:sz w:val="32"/>
          <w:szCs w:val="32"/>
        </w:rPr>
        <w:t>配合消防救援支队做好大型文化娱乐活动以及人群密集的文化娱乐场所事故的抢险救援工作；督促公共文化设施重点单位和文艺演出单位、体育活动举办单位制定应急预案，并检查落实；负责组织协调旅游安全事故应急救援工作；负责生产安全事故应急救援方面的广播电视宣传。</w:t>
      </w:r>
    </w:p>
    <w:p>
      <w:pPr>
        <w:pStyle w:val="13"/>
        <w:shd w:val="clear" w:color="auto" w:fill="FFFFFF"/>
        <w:spacing w:beforeAutospacing="0" w:afterAutospacing="0" w:line="620" w:lineRule="exact"/>
        <w:ind w:firstLine="640"/>
        <w:rPr>
          <w:rFonts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17、市卫健委：</w:t>
      </w:r>
      <w:r>
        <w:rPr>
          <w:rFonts w:hint="eastAsia" w:ascii="仿宋_GB2312" w:hAnsi="仿宋_GB2312" w:eastAsia="仿宋_GB2312" w:cs="仿宋_GB2312"/>
          <w:kern w:val="2"/>
          <w:sz w:val="32"/>
          <w:szCs w:val="32"/>
        </w:rPr>
        <w:t>负责组织、协调和指挥医疗救护队伍参加抢险救护工作；负责组织协调相关药品和器械并为地方卫生医疗机构提供技术支持；负责组织在事故现场洗消与防疫，设置临时医疗急救点。负责组织对伤员进行分检及紧急医疗处置。</w:t>
      </w:r>
    </w:p>
    <w:p>
      <w:pPr>
        <w:pStyle w:val="13"/>
        <w:shd w:val="clear" w:color="auto" w:fill="FFFFFF"/>
        <w:spacing w:beforeAutospacing="0" w:afterAutospacing="0" w:line="62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18、市商务局：</w:t>
      </w:r>
      <w:r>
        <w:rPr>
          <w:rFonts w:hint="eastAsia" w:ascii="仿宋_GB2312" w:hAnsi="仿宋_GB2312" w:eastAsia="仿宋_GB2312" w:cs="仿宋_GB2312"/>
          <w:kern w:val="2"/>
          <w:sz w:val="32"/>
          <w:szCs w:val="32"/>
        </w:rPr>
        <w:t>负责组织协调生活必需品等救灾物资的储备、供应和调拨工作；生产经营单位在境外发生生产安全事故有人员伤亡的，负责按《境外中资企业机构和人员安全管理规定》进行处置。</w:t>
      </w:r>
    </w:p>
    <w:p>
      <w:pPr>
        <w:pStyle w:val="13"/>
        <w:shd w:val="clear" w:color="auto" w:fill="FFFFFF"/>
        <w:spacing w:beforeAutospacing="0" w:afterAutospacing="0" w:line="62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19、市生态环境局:</w:t>
      </w:r>
      <w:r>
        <w:rPr>
          <w:rFonts w:hint="eastAsia" w:ascii="仿宋_GB2312" w:hAnsi="仿宋_GB2312" w:eastAsia="仿宋_GB2312" w:cs="仿宋_GB2312"/>
          <w:kern w:val="2"/>
          <w:sz w:val="32"/>
          <w:szCs w:val="32"/>
        </w:rPr>
        <w:t>为各类事故现场提供与环境相关的必要的数据参数；负责事故的环境应急监测，提出控制、消除环境污染的措施。针对事故造成的环境污染状况，提出环境保护和治理方案，并监督事故责任主体单位组织实施。负责监督事故单位对因事故形成的污染物质进行处置。</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20、市国有资金资产管理局:</w:t>
      </w:r>
      <w:r>
        <w:rPr>
          <w:rFonts w:hint="eastAsia" w:ascii="仿宋_GB2312" w:hAnsi="仿宋_GB2312" w:eastAsia="仿宋_GB2312" w:cs="仿宋_GB2312"/>
          <w:kern w:val="2"/>
          <w:sz w:val="32"/>
          <w:szCs w:val="32"/>
        </w:rPr>
        <w:t>参与中央、自治区和市国有企业事故应急救援和善后处置工作；指导、检查、督促国有企业的应急管理工作。</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21、市应急管理局:</w:t>
      </w:r>
      <w:r>
        <w:rPr>
          <w:rFonts w:hint="eastAsia" w:ascii="仿宋_GB2312" w:hAnsi="仿宋_GB2312" w:eastAsia="仿宋_GB2312" w:cs="仿宋_GB2312"/>
          <w:kern w:val="2"/>
          <w:sz w:val="32"/>
          <w:szCs w:val="32"/>
        </w:rPr>
        <w:t>负责全市生产安全事故应急救援组织、指挥、协调工作；指导安全生产专业应急救援协调指挥机构应急救援工作；督促、指导生产经营单位制定和完善生产安全事故综合应急预案、专项预案和现场处置方案，并监督报备工作；负责指导安全生产应急救援专家组工作。</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22、市外事办:</w:t>
      </w:r>
      <w:r>
        <w:rPr>
          <w:rFonts w:hint="eastAsia" w:ascii="仿宋_GB2312" w:hAnsi="仿宋_GB2312" w:eastAsia="仿宋_GB2312" w:cs="仿宋_GB2312"/>
          <w:kern w:val="2"/>
          <w:sz w:val="32"/>
          <w:szCs w:val="32"/>
        </w:rPr>
        <w:t>协调处理境内生产安全事故中的涉外事宜；协助解决境外媒体等机构对生产安全事故中涉外事项的关注，配合有关部门组织相关接待；向指挥部报告有关情况。</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23、市场监督管理局:</w:t>
      </w:r>
      <w:r>
        <w:rPr>
          <w:rFonts w:hint="eastAsia" w:ascii="仿宋_GB2312" w:hAnsi="仿宋_GB2312" w:eastAsia="仿宋_GB2312" w:cs="仿宋_GB2312"/>
          <w:kern w:val="2"/>
          <w:sz w:val="32"/>
          <w:szCs w:val="32"/>
        </w:rPr>
        <w:t>负责组织、协调和指挥特种设备事故应急救援；为特种设备事故处置提供技术保障。</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24、市气象局:</w:t>
      </w:r>
      <w:r>
        <w:rPr>
          <w:rFonts w:hint="eastAsia" w:ascii="仿宋_GB2312" w:hAnsi="仿宋_GB2312" w:eastAsia="仿宋_GB2312" w:cs="仿宋_GB2312"/>
          <w:kern w:val="2"/>
          <w:sz w:val="32"/>
          <w:szCs w:val="32"/>
        </w:rPr>
        <w:t>提供境内强雷区分布区域，为各级政府编制生产安全事故应急预案提供防雷资料；负责提供事故现场或者现场附近的风向、风速、温度、湿度、气压、降水量等气象资料。</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25、市总工会：</w:t>
      </w:r>
      <w:r>
        <w:rPr>
          <w:rFonts w:hint="eastAsia" w:ascii="仿宋_GB2312" w:hAnsi="仿宋_GB2312" w:eastAsia="仿宋_GB2312" w:cs="仿宋_GB2312"/>
          <w:kern w:val="2"/>
          <w:sz w:val="32"/>
          <w:szCs w:val="32"/>
        </w:rPr>
        <w:t>配合做好遇险人员和遇险、遇难人员家属的安抚工作；配合做好遇难人员的善后工作。</w:t>
      </w:r>
    </w:p>
    <w:p>
      <w:pPr>
        <w:pStyle w:val="13"/>
        <w:shd w:val="clear" w:color="auto" w:fill="FFFFFF"/>
        <w:spacing w:beforeAutospacing="0" w:afterAutospacing="0" w:line="62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26、市消防救援支队：</w:t>
      </w:r>
      <w:r>
        <w:rPr>
          <w:rFonts w:hint="eastAsia" w:ascii="仿宋_GB2312" w:hAnsi="仿宋_GB2312" w:eastAsia="仿宋_GB2312" w:cs="仿宋_GB2312"/>
          <w:kern w:val="2"/>
          <w:sz w:val="32"/>
          <w:szCs w:val="32"/>
        </w:rPr>
        <w:t>负责组织、协调、指挥火灾、危险化学品事故的应急救援，扑灭事故现场火灾，控制易燃易爆、有毒物质泄漏。</w:t>
      </w:r>
    </w:p>
    <w:p>
      <w:pPr>
        <w:pStyle w:val="13"/>
        <w:shd w:val="clear" w:color="auto" w:fill="FFFFFF"/>
        <w:spacing w:beforeAutospacing="0" w:afterAutospacing="0" w:line="62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27、市电业局：</w:t>
      </w:r>
      <w:r>
        <w:rPr>
          <w:rFonts w:hint="eastAsia" w:ascii="仿宋_GB2312" w:hAnsi="仿宋_GB2312" w:eastAsia="仿宋_GB2312" w:cs="仿宋_GB2312"/>
          <w:kern w:val="2"/>
          <w:sz w:val="32"/>
          <w:szCs w:val="32"/>
        </w:rPr>
        <w:t>负责组织协调大面积停电事件的电力恢复应急处置工作；负责提供生产安全事故应急救援所需电力保障工作。</w:t>
      </w:r>
    </w:p>
    <w:p>
      <w:pPr>
        <w:pStyle w:val="13"/>
        <w:shd w:val="clear" w:color="auto" w:fill="FFFFFF"/>
        <w:spacing w:beforeAutospacing="0" w:afterAutospacing="0" w:line="62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28、巴彦淖尔日报社：</w:t>
      </w:r>
      <w:r>
        <w:rPr>
          <w:rFonts w:hint="eastAsia" w:ascii="仿宋_GB2312" w:hAnsi="仿宋_GB2312" w:eastAsia="仿宋_GB2312" w:cs="仿宋_GB2312"/>
          <w:kern w:val="2"/>
          <w:sz w:val="32"/>
          <w:szCs w:val="32"/>
        </w:rPr>
        <w:t>负责生产安全事故应急救援知识的宣传；按照指挥部统一要求，及时报道事故现场抢险救援情况。</w:t>
      </w:r>
    </w:p>
    <w:p>
      <w:pPr>
        <w:pStyle w:val="13"/>
        <w:shd w:val="clear" w:color="auto" w:fill="FFFFFF"/>
        <w:spacing w:beforeAutospacing="0" w:afterAutospacing="0" w:line="62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29、巴彦淖尔军分区、武警支队：</w:t>
      </w:r>
      <w:r>
        <w:rPr>
          <w:rFonts w:hint="eastAsia" w:ascii="仿宋_GB2312" w:hAnsi="仿宋_GB2312" w:eastAsia="仿宋_GB2312" w:cs="仿宋_GB2312"/>
          <w:kern w:val="2"/>
          <w:sz w:val="32"/>
          <w:szCs w:val="32"/>
        </w:rPr>
        <w:t>明确部队有关建制单位为应对各类事故救援预备力量，参加事故抢险救援工作。</w:t>
      </w:r>
    </w:p>
    <w:p>
      <w:pPr>
        <w:pStyle w:val="13"/>
        <w:shd w:val="clear" w:color="auto" w:fill="FFFFFF"/>
        <w:spacing w:beforeAutospacing="0" w:afterAutospacing="0" w:line="620" w:lineRule="exact"/>
        <w:ind w:firstLine="640"/>
        <w:rPr>
          <w:rFonts w:hint="eastAsia"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30、各电信公司：</w:t>
      </w:r>
      <w:r>
        <w:rPr>
          <w:rFonts w:hint="eastAsia" w:ascii="仿宋_GB2312" w:hAnsi="仿宋_GB2312" w:eastAsia="仿宋_GB2312" w:cs="仿宋_GB2312"/>
          <w:kern w:val="2"/>
          <w:sz w:val="32"/>
          <w:szCs w:val="32"/>
        </w:rPr>
        <w:t>负责为抢险救援应急指挥提供通信保障。</w:t>
      </w:r>
    </w:p>
    <w:p>
      <w:pPr>
        <w:pStyle w:val="13"/>
        <w:shd w:val="clear" w:color="auto" w:fill="FFFFFF"/>
        <w:spacing w:beforeAutospacing="0" w:afterAutospacing="0" w:line="62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31、临策铁路运输管理部：</w:t>
      </w:r>
      <w:r>
        <w:rPr>
          <w:rFonts w:hint="eastAsia" w:ascii="仿宋_GB2312" w:hAnsi="仿宋_GB2312" w:eastAsia="仿宋_GB2312" w:cs="仿宋_GB2312"/>
          <w:kern w:val="2"/>
          <w:sz w:val="32"/>
          <w:szCs w:val="32"/>
        </w:rPr>
        <w:t>负责提供应急救援所需的铁路运输保障。</w:t>
      </w:r>
    </w:p>
    <w:p>
      <w:pPr>
        <w:pStyle w:val="13"/>
        <w:shd w:val="clear" w:color="auto" w:fill="FFFFFF"/>
        <w:spacing w:beforeAutospacing="0" w:afterAutospacing="0" w:line="62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32、巴彦淖尔民航机场公司：</w:t>
      </w:r>
      <w:r>
        <w:rPr>
          <w:rFonts w:hint="eastAsia" w:ascii="仿宋_GB2312" w:hAnsi="仿宋_GB2312" w:eastAsia="仿宋_GB2312" w:cs="仿宋_GB2312"/>
          <w:kern w:val="2"/>
          <w:sz w:val="32"/>
          <w:szCs w:val="32"/>
        </w:rPr>
        <w:t>负责协调民用航空器飞行事故的应急救援工作；负责组织应急救援所需的空运和物资、器械的空投保障。</w:t>
      </w:r>
    </w:p>
    <w:p>
      <w:pPr>
        <w:pStyle w:val="13"/>
        <w:shd w:val="clear" w:color="auto" w:fill="FFFFFF"/>
        <w:spacing w:beforeAutospacing="0" w:afterAutospacing="0" w:line="62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其他有关部门和单位根据生产安全事故应对工作的需要，在市人民政府的组织协调下做好相关工作。</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40" w:name="_Toc9694"/>
      <w:r>
        <w:rPr>
          <w:rStyle w:val="20"/>
          <w:rFonts w:hint="eastAsia" w:ascii="黑体" w:hAnsi="黑体" w:eastAsia="黑体" w:cs="黑体"/>
          <w:b w:val="0"/>
          <w:bCs w:val="0"/>
          <w:kern w:val="0"/>
          <w:sz w:val="32"/>
          <w:szCs w:val="32"/>
        </w:rPr>
        <w:t>2.7 旗县区人民政府、甘其毛都口岸管委会及巴彦淖尔经济技术开发区管委会职责</w:t>
      </w:r>
      <w:bookmarkEnd w:id="40"/>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旗县区人民政府领导本行政区域内生产安全事故应对工作，负责生产安全事故应急综合协调和指挥，旗县区应急管理部门依照职责和本预案的规定，承担具体协调和处置本行政区域内生产安全事故应急指挥部办公室工作。甘其毛都口岸管委会和巴彦淖尔经济技术开发区管委会负责辖区内生产安全事故应急处置工作。</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41" w:name="_Toc1284"/>
      <w:r>
        <w:rPr>
          <w:rStyle w:val="20"/>
          <w:rFonts w:hint="eastAsia" w:ascii="黑体" w:hAnsi="黑体" w:eastAsia="黑体" w:cs="黑体"/>
          <w:b w:val="0"/>
          <w:bCs w:val="0"/>
          <w:kern w:val="0"/>
          <w:sz w:val="32"/>
          <w:szCs w:val="32"/>
        </w:rPr>
        <w:t>2.8技术专家组组成与职责</w:t>
      </w:r>
      <w:bookmarkEnd w:id="41"/>
    </w:p>
    <w:p>
      <w:pPr>
        <w:shd w:val="clear" w:color="auto" w:fill="FFFFFF"/>
        <w:spacing w:line="7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1、事故调查牵头部门根据事故类别和部门应急救援职责，组织成立生产安全事故处置技术专家组。</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技术专家组主要职责：参与生产安全事故应急工作；指导生产安全事故应急处置工作；为应急决策提供技术咨询、建议、检测、技术鉴定；参与应急演练和评估工作，对应急预案制定、修订提出修改意见和建议等。</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42" w:name="_Toc5138"/>
      <w:r>
        <w:rPr>
          <w:rStyle w:val="20"/>
          <w:rFonts w:hint="eastAsia" w:ascii="黑体" w:hAnsi="黑体" w:eastAsia="黑体" w:cs="黑体"/>
          <w:b w:val="0"/>
          <w:bCs w:val="0"/>
          <w:kern w:val="0"/>
          <w:sz w:val="32"/>
          <w:szCs w:val="32"/>
        </w:rPr>
        <w:t>2.9 应急救援队伍组成</w:t>
      </w:r>
      <w:bookmarkEnd w:id="42"/>
    </w:p>
    <w:p>
      <w:pPr>
        <w:pStyle w:val="13"/>
        <w:shd w:val="clear" w:color="auto" w:fill="FFFFFF"/>
        <w:spacing w:beforeAutospacing="0" w:afterAutospacing="0"/>
        <w:ind w:firstLine="640"/>
        <w:rPr>
          <w:rFonts w:ascii="仿宋_GB2312" w:hAnsi="仿宋_GB2312" w:eastAsia="仿宋_GB2312" w:cs="仿宋_GB2312"/>
          <w:kern w:val="2"/>
          <w:sz w:val="32"/>
          <w:szCs w:val="32"/>
        </w:rPr>
        <w:sectPr>
          <w:headerReference r:id="rId7" w:type="default"/>
          <w:footerReference r:id="rId8" w:type="default"/>
          <w:pgSz w:w="11905" w:h="16838"/>
          <w:pgMar w:top="1417" w:right="1134" w:bottom="1134" w:left="1587" w:header="964" w:footer="737" w:gutter="0"/>
          <w:pgNumType w:fmt="numberInDash" w:start="1"/>
          <w:cols w:space="0" w:num="1"/>
          <w:docGrid w:type="lines" w:linePitch="386" w:charSpace="0"/>
        </w:sectPr>
      </w:pPr>
      <w:r>
        <w:rPr>
          <w:rFonts w:hint="eastAsia" w:ascii="仿宋_GB2312" w:hAnsi="仿宋_GB2312" w:eastAsia="仿宋_GB2312" w:cs="仿宋_GB2312"/>
          <w:kern w:val="2"/>
          <w:sz w:val="32"/>
          <w:szCs w:val="32"/>
        </w:rPr>
        <w:t>全市生产安全事故应急救援队伍主要包括：消防救援支队、应急救援支队、森林消防巴彦淖尔中队、各相关行业的专业应急救援队伍，生产经营单位的应急救援队伍，民兵预备役人员，蓝天救援队等社会力量及志愿者队伍。必要时，协调解放军和武警部队参加。</w:t>
      </w:r>
    </w:p>
    <w:p>
      <w:pPr>
        <w:pStyle w:val="8"/>
        <w:keepNext w:val="0"/>
        <w:keepLines w:val="0"/>
        <w:pageBreakBefore w:val="0"/>
        <w:widowControl w:val="0"/>
        <w:kinsoku/>
        <w:wordWrap/>
        <w:overflowPunct/>
        <w:topLinePunct w:val="0"/>
        <w:autoSpaceDE/>
        <w:autoSpaceDN/>
        <w:bidi w:val="0"/>
        <w:adjustRightInd/>
        <w:snapToGrid/>
        <w:spacing w:line="800" w:lineRule="exact"/>
        <w:ind w:firstLine="0" w:firstLineChars="0"/>
        <w:jc w:val="center"/>
        <w:textAlignment w:val="auto"/>
        <w:outlineLvl w:val="0"/>
        <w:rPr>
          <w:rFonts w:hint="eastAsia" w:ascii="仿宋_GB2312" w:hAnsi="仿宋_GB2312" w:eastAsia="仿宋_GB2312" w:cs="仿宋_GB2312"/>
          <w:b/>
          <w:sz w:val="32"/>
          <w:szCs w:val="32"/>
        </w:rPr>
      </w:pPr>
      <w:bookmarkStart w:id="43" w:name="_Toc27609"/>
      <w:r>
        <w:rPr>
          <w:rFonts w:hint="eastAsia" w:ascii="仿宋_GB2312" w:hAnsi="仿宋_GB2312" w:eastAsia="仿宋_GB2312" w:cs="仿宋_GB2312"/>
          <w:b/>
          <w:sz w:val="32"/>
          <w:szCs w:val="32"/>
        </w:rPr>
        <w:t>3 预防、预警及信息报告</w:t>
      </w:r>
      <w:bookmarkEnd w:id="43"/>
    </w:p>
    <w:p>
      <w:pPr>
        <w:shd w:val="clear" w:color="auto" w:fill="FFFFFF"/>
        <w:spacing w:line="700" w:lineRule="exact"/>
        <w:ind w:firstLine="640"/>
        <w:jc w:val="both"/>
        <w:outlineLvl w:val="1"/>
        <w:rPr>
          <w:rStyle w:val="20"/>
          <w:rFonts w:ascii="黑体" w:hAnsi="黑体" w:eastAsia="黑体" w:cs="黑体"/>
          <w:b w:val="0"/>
          <w:bCs w:val="0"/>
          <w:color w:val="000000" w:themeColor="text1"/>
          <w:kern w:val="0"/>
          <w:sz w:val="32"/>
          <w:szCs w:val="32"/>
          <w14:textFill>
            <w14:solidFill>
              <w14:schemeClr w14:val="tx1"/>
            </w14:solidFill>
          </w14:textFill>
        </w:rPr>
      </w:pPr>
      <w:bookmarkStart w:id="44" w:name="_Toc30306"/>
      <w:r>
        <w:rPr>
          <w:rStyle w:val="20"/>
          <w:rFonts w:hint="eastAsia" w:ascii="黑体" w:hAnsi="黑体" w:eastAsia="黑体" w:cs="黑体"/>
          <w:b w:val="0"/>
          <w:bCs w:val="0"/>
          <w:color w:val="000000" w:themeColor="text1"/>
          <w:kern w:val="0"/>
          <w:sz w:val="32"/>
          <w:szCs w:val="32"/>
          <w14:textFill>
            <w14:solidFill>
              <w14:schemeClr w14:val="tx1"/>
            </w14:solidFill>
          </w14:textFill>
        </w:rPr>
        <w:t>3.1 预防与应急准备</w:t>
      </w:r>
      <w:bookmarkEnd w:id="44"/>
    </w:p>
    <w:p>
      <w:pPr>
        <w:pStyle w:val="13"/>
        <w:shd w:val="clear" w:color="auto" w:fill="FFFFFF"/>
        <w:spacing w:beforeAutospacing="0" w:afterAutospacing="0" w:line="580" w:lineRule="exact"/>
        <w:ind w:firstLine="64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1、各旗县区人民政府、巴彦淖尔经济技术开发区管委会、甘其毛都口岸管委会应对重大危险源定期进行检查、评估与监控，并登记建档，按照国家规定及时向社会公布，责令有关单位采取安全防范措施；对发现或确认的重大事故隐患进行挂牌督办，落实治理责任、措施、资金、时限、应急预案，按期整改销号。统筹安排应对事故的设备和基础设施建设，提供合理的应急避难场所；制定并完善本地区生产安全事故应急救援预案，建立应急救援体系，明确工作职责，做好应急资源保障工作，建立应急专家组并定期联系。</w:t>
      </w:r>
    </w:p>
    <w:p>
      <w:pPr>
        <w:pStyle w:val="13"/>
        <w:shd w:val="clear" w:color="auto" w:fill="FFFFFF"/>
        <w:spacing w:beforeAutospacing="0" w:afterAutospacing="0" w:line="580" w:lineRule="exact"/>
        <w:ind w:firstLine="64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2、生产经营单位应对本单位重大危险源评检测、评估、监控、登记建档、制定应急预案，将重大危险源报负有安全生产监管职责的有关部门和行业管理部门备案；对检查监测发现的事故隐患及时整改核销；应建立应急救援管理制度，做好应急保障，建立由本单位组成的专兼职应急救援队伍，定期检测、维护应急报警装置和救援设备、设施，使其处于良好状态，确保正常使用；定期组织应急救援演练，加强相关知识技能教育培训，使从业人员熟悉应急救援措施，掌握防护装备和救援设备的使用方法，提高应对突发性事件能力；与当地政府及有关部门、社区建立应急互动机制，制定保护周边群众安全的防护措施。</w:t>
      </w:r>
    </w:p>
    <w:p>
      <w:pPr>
        <w:shd w:val="clear" w:color="auto" w:fill="FFFFFF"/>
        <w:spacing w:line="700" w:lineRule="exact"/>
        <w:ind w:firstLine="640"/>
        <w:jc w:val="both"/>
        <w:outlineLvl w:val="1"/>
        <w:rPr>
          <w:rStyle w:val="20"/>
          <w:rFonts w:ascii="黑体" w:hAnsi="黑体" w:eastAsia="黑体" w:cs="黑体"/>
          <w:b w:val="0"/>
          <w:bCs w:val="0"/>
          <w:color w:val="000000" w:themeColor="text1"/>
          <w:kern w:val="0"/>
          <w:sz w:val="32"/>
          <w:szCs w:val="32"/>
          <w14:textFill>
            <w14:solidFill>
              <w14:schemeClr w14:val="tx1"/>
            </w14:solidFill>
          </w14:textFill>
        </w:rPr>
      </w:pPr>
      <w:bookmarkStart w:id="45" w:name="_Toc32538"/>
      <w:r>
        <w:rPr>
          <w:rStyle w:val="20"/>
          <w:rFonts w:hint="eastAsia" w:ascii="黑体" w:hAnsi="黑体" w:eastAsia="黑体" w:cs="黑体"/>
          <w:b w:val="0"/>
          <w:bCs w:val="0"/>
          <w:color w:val="000000" w:themeColor="text1"/>
          <w:kern w:val="0"/>
          <w:sz w:val="32"/>
          <w:szCs w:val="32"/>
          <w14:textFill>
            <w14:solidFill>
              <w14:schemeClr w14:val="tx1"/>
            </w14:solidFill>
          </w14:textFill>
        </w:rPr>
        <w:t>3.2监测与预警</w:t>
      </w:r>
      <w:bookmarkEnd w:id="45"/>
    </w:p>
    <w:p>
      <w:pPr>
        <w:spacing w:line="62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1、指挥部办公室负责组织协调相关部门、专业机构、监测网点建立和运行全市生产安全事故监测预警信息系统。</w:t>
      </w:r>
    </w:p>
    <w:p>
      <w:pPr>
        <w:pStyle w:val="13"/>
        <w:shd w:val="clear" w:color="auto" w:fill="FFFFFF"/>
        <w:spacing w:beforeAutospacing="0" w:afterAutospacing="0" w:line="620" w:lineRule="exact"/>
        <w:ind w:firstLine="64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2、根据生产安全事故的类型和特点，旗县区人民政府（管委会）和市直相关部门按职责对重大危险源进行监测与监控。生产经营单位要建立完善安全生产动态监控及预警预报体系，每季度进行一次安全生产风险分析，对本单位的重大危险源和重大事故隐患要报负有安全生产监管职责的部门备案，进行定期检测、评估，及时排查和消除隐患。</w:t>
      </w:r>
    </w:p>
    <w:p>
      <w:pPr>
        <w:pStyle w:val="13"/>
        <w:shd w:val="clear" w:color="auto" w:fill="FFFFFF"/>
        <w:spacing w:beforeAutospacing="0" w:afterAutospacing="0" w:line="620" w:lineRule="exact"/>
        <w:ind w:firstLine="64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3、按照生产安全事故发生的紧急程度、发展势态和可能造成的危害程度，事故预警级别分为一级、二级、三级和四级，与事故应急响应分级标准对应，分别用红色、橙色、黄色和蓝色标示，一级为最高级别。根据事态的发展情况和采取措施的效果，预警可以升级、降级或解除。旗县区人民政府收集到的有关信息预测事故即将发生或者发生的可能性增大时，由旗县区人民政府或授权本级应急管理部门根据有关法规、规定的权限和程序，发出相应级别的警报，发布预警公告，同时向市人民政府报告。</w:t>
      </w:r>
    </w:p>
    <w:p>
      <w:pPr>
        <w:pStyle w:val="13"/>
        <w:shd w:val="clear" w:color="auto" w:fill="FFFFFF"/>
        <w:spacing w:beforeAutospacing="0" w:afterAutospacing="0" w:line="620" w:lineRule="exact"/>
        <w:ind w:firstLine="640"/>
        <w:jc w:val="both"/>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4、市直相关部门及旗县区人民政府、巴彦淖尔经济技术开发区管委会、甘其毛都口岸管委会在事故易发季节应及时发布预警公告，提出预防措施和要求，检查和督促生产经营单位落实各项防范措施；当地或同一行业连续发生同类重大未遂事件的，应及时采取专项检查、治理等措施，必要时等同事故进行处理，防止事故发生。</w:t>
      </w:r>
    </w:p>
    <w:p>
      <w:pPr>
        <w:pStyle w:val="13"/>
        <w:shd w:val="clear" w:color="auto" w:fill="FFFFFF"/>
        <w:spacing w:beforeAutospacing="0" w:afterAutospacing="0"/>
        <w:ind w:firstLine="640"/>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5、对于其他灾害，特别是洪涝、暴雨、雷击、滑坡等自然灾害可能引发生产安全事故的重要信息，应及时进行分析，并告知相关单位做好应急准备和预防工作。</w:t>
      </w:r>
    </w:p>
    <w:p>
      <w:pPr>
        <w:pStyle w:val="13"/>
        <w:shd w:val="clear" w:color="auto" w:fill="FFFFFF"/>
        <w:spacing w:beforeAutospacing="0" w:afterAutospacing="0"/>
        <w:ind w:firstLine="64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市直相关部门和旗县区人民政府、巴彦淖尔经济技术开发区管委会、甘其毛都口岸管委会接到可能导致生产安全事故的信息后，应及时研究应对方案，报送相关信息，通知有关部门、单位采取相应行动，做好应急准备和预防工作，防止事故发生。事态严重时向市生产安全应急救援指挥部办公室和相关部门报告。</w:t>
      </w:r>
    </w:p>
    <w:p>
      <w:pPr>
        <w:pStyle w:val="13"/>
        <w:shd w:val="clear" w:color="auto" w:fill="FFFFFF"/>
        <w:spacing w:beforeAutospacing="0" w:afterAutospacing="0"/>
        <w:ind w:firstLine="64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当市人民政府发布预警公告，进入预警状态后，各旗县区人民政府和有关部门应当采取以下措施：</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（1）按照相关应急预案要求，组织加强对事故发生、发展情况的监测、预报和预警工作；组织有关部门和机构、人员对信息进行分析评估。</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（2）转移、撤离或者疏散可能受到危害的人员，并进行妥善安置。</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（3）组织指挥应急救援队伍、负有特定职责的人员进入待命状态，并动员后备人员做好参加应急救援和处置工作的准备；相关部门立即开展应急监测分析，随时掌握并报告事态进展情况。</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（4）针对可能造成的危害，封闭、隔离或者限制使用有关场所，中止可能导致危害扩大的行为和活动。</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（5）调集应急所需物资、设备、工具，准备应急设施，确保应急保障工作。</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（6）开展专项行动，进行整治，消除事故风险。</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（7）不能保证安全的，应及时下达通知，督促生产经营单位采取立即整改、局部停产或撤出人员、全部停产等措施。</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6、事实证明不可能发生或者危险已经解除的，应当对外宣布解除警报，并解除已经采取的有关措施。</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46" w:name="_Toc4649"/>
      <w:r>
        <w:rPr>
          <w:rStyle w:val="20"/>
          <w:rFonts w:hint="eastAsia" w:ascii="黑体" w:hAnsi="黑体" w:eastAsia="黑体" w:cs="黑体"/>
          <w:b w:val="0"/>
          <w:bCs w:val="0"/>
          <w:kern w:val="0"/>
          <w:sz w:val="32"/>
          <w:szCs w:val="32"/>
        </w:rPr>
        <w:t>3.3 信息报告</w:t>
      </w:r>
      <w:bookmarkEnd w:id="46"/>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生产安全事故发生后，事故发生单位要按照规定在事发后1小时内报告当地政府及应急管理部门和主管部门。信息报告的主要内容如下：</w:t>
      </w:r>
    </w:p>
    <w:p>
      <w:pPr>
        <w:pStyle w:val="13"/>
        <w:numPr>
          <w:ilvl w:val="0"/>
          <w:numId w:val="2"/>
        </w:numPr>
        <w:spacing w:beforeAutospacing="0" w:afterAutospacing="0" w:line="58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发生事故的单位、时间、地点、位置;</w:t>
      </w:r>
    </w:p>
    <w:p>
      <w:pPr>
        <w:pStyle w:val="13"/>
        <w:numPr>
          <w:ilvl w:val="0"/>
          <w:numId w:val="2"/>
        </w:numPr>
        <w:spacing w:beforeAutospacing="0" w:afterAutospacing="0" w:line="58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事故类型;</w:t>
      </w:r>
    </w:p>
    <w:p>
      <w:pPr>
        <w:pStyle w:val="13"/>
        <w:numPr>
          <w:ilvl w:val="0"/>
          <w:numId w:val="2"/>
        </w:numPr>
        <w:spacing w:beforeAutospacing="0" w:afterAutospacing="0" w:line="58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伤亡情况及事故直接经济损失的初步评估；</w:t>
      </w:r>
    </w:p>
    <w:p>
      <w:pPr>
        <w:pStyle w:val="13"/>
        <w:numPr>
          <w:ilvl w:val="0"/>
          <w:numId w:val="2"/>
        </w:numPr>
        <w:spacing w:beforeAutospacing="0" w:afterAutospacing="0" w:line="58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事故涉及的危险材料性质、数量;</w:t>
      </w:r>
    </w:p>
    <w:p>
      <w:pPr>
        <w:pStyle w:val="13"/>
        <w:numPr>
          <w:ilvl w:val="0"/>
          <w:numId w:val="2"/>
        </w:numPr>
        <w:spacing w:beforeAutospacing="0" w:afterAutospacing="0" w:line="58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事故发展趋势,可能影响的范围,现场人员和附近人口分布;</w:t>
      </w:r>
    </w:p>
    <w:p>
      <w:pPr>
        <w:pStyle w:val="13"/>
        <w:numPr>
          <w:ilvl w:val="0"/>
          <w:numId w:val="2"/>
        </w:numPr>
        <w:spacing w:beforeAutospacing="0" w:afterAutospacing="0" w:line="58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事故的初步原因判断;</w:t>
      </w:r>
    </w:p>
    <w:p>
      <w:pPr>
        <w:pStyle w:val="13"/>
        <w:numPr>
          <w:ilvl w:val="0"/>
          <w:numId w:val="2"/>
        </w:numPr>
        <w:spacing w:beforeAutospacing="0" w:afterAutospacing="0" w:line="58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采取的应急抢救措施;</w:t>
      </w:r>
    </w:p>
    <w:p>
      <w:pPr>
        <w:pStyle w:val="13"/>
        <w:numPr>
          <w:ilvl w:val="0"/>
          <w:numId w:val="2"/>
        </w:numPr>
        <w:spacing w:beforeAutospacing="0" w:afterAutospacing="0" w:line="58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需要有关部门和单位协助救援抢险的事宜;</w:t>
      </w:r>
    </w:p>
    <w:p>
      <w:pPr>
        <w:pStyle w:val="13"/>
        <w:numPr>
          <w:ilvl w:val="0"/>
          <w:numId w:val="2"/>
        </w:numPr>
        <w:spacing w:beforeAutospacing="0" w:afterAutospacing="0" w:line="580" w:lineRule="exact"/>
        <w:ind w:firstLine="64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事故的报告时间、报告单位、报告人及电话联络方式。</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发生生产安全事故</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，事发地政府及相关部门接到报告后，应当立即核实有关情况，按照国家有关规定及时报告市人民政府及上级主管部门，市人民政府在规定时间内上报自治区人民政府。每级上报时间不得超过2小时。</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巴彦淖尔市应急管理局24小时值班热线（0478-8277780）</w:t>
      </w:r>
    </w:p>
    <w:p>
      <w:pPr>
        <w:ind w:firstLine="640"/>
        <w:sectPr>
          <w:footerReference r:id="rId10" w:type="first"/>
          <w:footerReference r:id="rId9" w:type="even"/>
          <w:pgSz w:w="11905" w:h="16838"/>
          <w:pgMar w:top="1417" w:right="1134" w:bottom="1134" w:left="1587" w:header="964" w:footer="737" w:gutter="0"/>
          <w:pgNumType w:fmt="numberInDash"/>
          <w:cols w:space="0" w:num="1"/>
          <w:docGrid w:type="lines" w:linePitch="386" w:charSpace="0"/>
        </w:sectPr>
      </w:pPr>
      <w:r>
        <w:rPr>
          <w:rFonts w:hint="eastAsia" w:ascii="仿宋_GB2312" w:hAnsi="仿宋_GB2312" w:eastAsia="仿宋_GB2312" w:cs="仿宋_GB2312"/>
          <w:sz w:val="32"/>
          <w:szCs w:val="32"/>
        </w:rPr>
        <w:t>巴彦淖尔市安全生产举报投诉电话：（0478-12350）</w:t>
      </w:r>
    </w:p>
    <w:bookmarkEnd w:id="33"/>
    <w:bookmarkEnd w:id="34"/>
    <w:p>
      <w:pPr>
        <w:pStyle w:val="8"/>
        <w:keepNext w:val="0"/>
        <w:keepLines w:val="0"/>
        <w:pageBreakBefore w:val="0"/>
        <w:widowControl w:val="0"/>
        <w:kinsoku/>
        <w:wordWrap/>
        <w:overflowPunct/>
        <w:topLinePunct w:val="0"/>
        <w:autoSpaceDE/>
        <w:autoSpaceDN/>
        <w:bidi w:val="0"/>
        <w:adjustRightInd/>
        <w:snapToGrid/>
        <w:spacing w:line="800" w:lineRule="exact"/>
        <w:ind w:firstLine="0" w:firstLineChars="0"/>
        <w:jc w:val="center"/>
        <w:textAlignment w:val="auto"/>
        <w:outlineLvl w:val="0"/>
        <w:rPr>
          <w:rFonts w:hint="eastAsia" w:ascii="仿宋_GB2312" w:hAnsi="仿宋_GB2312" w:eastAsia="仿宋_GB2312" w:cs="仿宋_GB2312"/>
          <w:b/>
          <w:sz w:val="32"/>
          <w:szCs w:val="32"/>
        </w:rPr>
      </w:pPr>
      <w:bookmarkStart w:id="47" w:name="_Toc329768041"/>
      <w:bookmarkEnd w:id="47"/>
      <w:bookmarkStart w:id="48" w:name="_Toc456388886"/>
      <w:bookmarkStart w:id="49" w:name="_Toc456389628"/>
      <w:bookmarkStart w:id="50" w:name="_Toc28795"/>
      <w:bookmarkStart w:id="51" w:name="_Toc19455"/>
      <w:bookmarkStart w:id="52" w:name="_Toc7886"/>
      <w:r>
        <w:rPr>
          <w:rFonts w:hint="eastAsia" w:ascii="仿宋_GB2312" w:hAnsi="仿宋_GB2312" w:eastAsia="仿宋_GB2312" w:cs="仿宋_GB2312"/>
          <w:b/>
          <w:sz w:val="32"/>
          <w:szCs w:val="32"/>
        </w:rPr>
        <w:t>4 应急响应</w:t>
      </w:r>
      <w:bookmarkEnd w:id="48"/>
      <w:bookmarkEnd w:id="49"/>
      <w:bookmarkEnd w:id="50"/>
      <w:bookmarkEnd w:id="51"/>
      <w:bookmarkEnd w:id="52"/>
    </w:p>
    <w:p>
      <w:pPr>
        <w:pStyle w:val="4"/>
        <w:spacing w:line="640" w:lineRule="exact"/>
        <w:ind w:firstLine="595" w:firstLineChars="186"/>
        <w:jc w:val="left"/>
        <w:rPr>
          <w:rFonts w:ascii="仿宋_GB2312" w:hAnsi="仿宋_GB2312" w:eastAsia="仿宋_GB2312" w:cs="仿宋_GB2312"/>
          <w:b w:val="0"/>
          <w:sz w:val="32"/>
        </w:rPr>
      </w:pPr>
      <w:bookmarkStart w:id="53" w:name="_Toc329768042"/>
      <w:bookmarkEnd w:id="53"/>
      <w:bookmarkStart w:id="54" w:name="_Toc32536"/>
      <w:bookmarkStart w:id="55" w:name="_Toc216713629"/>
      <w:bookmarkStart w:id="56" w:name="_Toc216713383"/>
      <w:bookmarkStart w:id="57" w:name="_Toc216713898"/>
      <w:r>
        <w:rPr>
          <w:rStyle w:val="20"/>
          <w:rFonts w:hint="eastAsia" w:ascii="黑体" w:hAnsi="黑体" w:eastAsia="黑体" w:cs="黑体"/>
          <w:b w:val="0"/>
          <w:bCs w:val="0"/>
          <w:kern w:val="0"/>
          <w:sz w:val="32"/>
        </w:rPr>
        <w:t>4.1分级响应</w:t>
      </w:r>
      <w:bookmarkEnd w:id="54"/>
      <w:bookmarkEnd w:id="55"/>
      <w:bookmarkEnd w:id="56"/>
      <w:bookmarkEnd w:id="57"/>
      <w:r>
        <w:rPr>
          <w:rFonts w:hint="eastAsia" w:ascii="仿宋_GB2312" w:hAnsi="仿宋_GB2312" w:eastAsia="仿宋_GB2312" w:cs="仿宋_GB2312"/>
          <w:b w:val="0"/>
          <w:sz w:val="32"/>
        </w:rPr>
        <w:t xml:space="preserve"> </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I级应急响应行动，按照《国家生产安全事故应急预案》执行。 </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Ⅱ级应急响应行动，按照《内蒙古自治区安全生产事故应急预案（2017年修订版）》。 </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Ⅲ级应急响应行动，由市人民政府决定组织实施，根据事故或险情的严重程度启动应急响应程序。</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4.1.1市级应急响应</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市应急指挥部接到安全生产事故报告后，应立即根据报告的事故类型、性质和严重程度向指挥部总指挥提出是否启动应急救援预案的建议，市政府根据实际情况，确定响应级别。</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4.1.2应急指挥部办公室应急响应</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1、通知相关成员单位、工作人员和工作组到岗，提出应急救援重大事项决策建议。必要时，报请总指挥亲自或指派有关部门负责人赶赴应急救援前线，负责现场应急救援协调指挥。</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2、开通与事故发生地的旗县区人民政府应急救援指挥机构、相关专业应急救援指挥机构的通信联系，随时掌握事态发展情况。</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根据有关部门和技术专家的建议，报请总指挥依法向应急救援队伍下达救援命令，通知相关应急救援机构、救援队伍待命，或赶赴现场参加抢险救援，依法发布调用和征用应急资源的决定，为现场应急救援指挥提供支持和保障。</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4、派出有关人员和工作组赶赴现场参加、指导现场应急救援，协调专业应急力量增援。</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5、必要时，在全市范围内紧急征用、调配施救物资、设备、车辆和人员。</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6、对可能或者已经引发其他突发事件的，及时通报相关领域的应急救援指挥机构。</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7、超出应急救援处置能力或事故进一步扩大时，向市人民政府和自治区应急管理厅报告，请求协调支援。</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8、协调落实其他有关事项。</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4.1.3相关部门应急响应</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进入Ⅲ级以上响应的，相关部门按照其职责，启动专项预案和应急处置程序，进入响应状态，开展应急救援工作，并及时向指挥部报告救援工作进展情况。需要有关应急力量支援时，及时申请组织协调。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4.1.4 旗县区政府应急响应</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进入Ⅲ级响应的，在上一级应急指挥领导机构到达之前，按照属地管理的原则，旗县区人民政府应启动应急处置程序，进入应急状态，成立现场应急指挥部，组织有关部门，调动应急救援队伍和社会力量，依照规定采取应急处置和救援措施。</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（1）政府主要负责人应带领相关人员立即赶赴事故现场组织指挥救援工作。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（2）组织营救和救治受害人员，疏散、撤离并妥善安置受到威胁的人员以及采取其他救助措施。</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（3）在做好保障应急人员安全的前提下，迅速控制危险源，降低和消除危害，封锁危险场所，划定警戒区，关闭或者限制使用有关设备设施以及场所，采取交通管制以及其他控制措施。</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（4）实施医疗救护、卫生防疫、环境监测、人员防护以及其他保障措施；抢修被损坏的公共设施，向受到危害的人员提供避难场所和生活必需品，做好后勤保障和人员善后工作。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（5）主动与指挥部办公室、相关部门进行通信联系，保持信息畅通。</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（6）启用本级政府设置的财政预备费和储备的应急救援物资。</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（7）采取防止发生次生、衍生事件的必要措施。</w:t>
      </w:r>
    </w:p>
    <w:p>
      <w:pPr>
        <w:ind w:firstLine="640"/>
        <w:rPr>
          <w:rFonts w:ascii="仿宋_GB2312" w:hAnsi="仿宋_GB2312" w:eastAsia="仿宋_GB2312" w:cs="仿宋_GB2312"/>
          <w:sz w:val="32"/>
          <w:szCs w:val="32"/>
        </w:rPr>
      </w:pPr>
      <w:bookmarkStart w:id="58" w:name="_Toc216713899"/>
      <w:bookmarkStart w:id="59" w:name="_Toc216713630"/>
      <w:bookmarkStart w:id="60" w:name="_Toc216713384"/>
      <w:r>
        <w:rPr>
          <w:rFonts w:hint="eastAsia" w:ascii="仿宋_GB2312" w:hAnsi="仿宋_GB2312" w:eastAsia="仿宋_GB2312" w:cs="仿宋_GB2312"/>
          <w:sz w:val="32"/>
          <w:szCs w:val="32"/>
        </w:rPr>
        <w:t xml:space="preserve">4.1.5 </w:t>
      </w:r>
      <w:bookmarkEnd w:id="58"/>
      <w:bookmarkEnd w:id="59"/>
      <w:bookmarkEnd w:id="60"/>
      <w:r>
        <w:rPr>
          <w:rFonts w:hint="eastAsia" w:ascii="仿宋_GB2312" w:hAnsi="仿宋_GB2312" w:eastAsia="仿宋_GB2312" w:cs="仿宋_GB2312"/>
          <w:sz w:val="32"/>
          <w:szCs w:val="32"/>
        </w:rPr>
        <w:t xml:space="preserve">事故发生单位的处置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发生生产安全事故后，应当立即启动生产安全事故应急救援预案，采取下列一项或者多项应急救援措施，并迅速向所在地人民政府应急管理部门或相关部门报告事故情况：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（一）迅速控制危险源，组织抢救遇险人员；</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（二）根据事故危害程度，组织现场人员撤离或者采取可能的应急措施后撤离；</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（三）及时通知可能受到事故影响的单位和人员；</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（四）采取必要措施，防止事故危害扩大和次生、衍生灾害发生；</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（五）根据需要请求邻近的应急救援队伍参加救援，并向参加救援的应急救援队伍提供相关技术资料、信息和处置方法；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（六）维护事故现场秩序，保护事故现场和相关证据；</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（七）其他应急救援措施。</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61" w:name="_Toc1148"/>
      <w:r>
        <w:rPr>
          <w:rStyle w:val="20"/>
          <w:rFonts w:hint="eastAsia" w:ascii="黑体" w:hAnsi="黑体" w:eastAsia="黑体" w:cs="黑体"/>
          <w:b w:val="0"/>
          <w:bCs w:val="0"/>
          <w:kern w:val="0"/>
          <w:sz w:val="32"/>
          <w:szCs w:val="32"/>
        </w:rPr>
        <w:t>4.2 指挥和协调</w:t>
      </w:r>
      <w:bookmarkEnd w:id="61"/>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1、进入Ⅲ级应急响应以上后，指挥部立即组织应急救援力量和资源，实施应急救援。必要时，由总指挥或者指派有关人员直接组织指挥协调。</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当自治区或国家启动应急处置程序时，服从自治区和国家有关应急领导机构的统一指挥。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2、指挥部根据事故的情况，组织、协调、指挥应急救援工作。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3、有关部门接受总指挥指派，指挥协调本系统和其他参与部门应急力量实施应急救援，派出部门负责人、专家和人员参加、指导现场应急救援工作，及时向指挥部报告应急救援行动的进展情况。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事发单位和先期到达的应急救援队伍必须按相关应急预案及现场应急方案，采取必要的个人防护措施，迅速、有效地实施先期处置；事故发生地政府及政府有关部门全力控制事故发展态势，果断控制或切断事故链，防止事故扩大。同时，指派专人负责引导指挥人员及各专业队伍进入事故救援现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指挥人员到达现场后，应立即了解现场情况，划定警戒区域，对现场实施封控，会同有关专家完善应急方案，指挥布置各相关部门及专业救援队伍、保障队伍采取必要的个人防护措施，按照分工开展抢险救援和紧急处置行动。同时，组织事故发生单位和事故发生所在地的政府，严格保护事故现场，迅速采取必要措施抢救人员和财产，做好善后处置工作。因抢救伤员，防止事故扩大以及疏通交通等原因需要移动现场时，必须及时做出标志、摄影、拍照、详细记录和绘制事故现场图，并妥善保存现场重要痕迹、物证等。</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62" w:name="_Toc5815"/>
      <w:r>
        <w:rPr>
          <w:rStyle w:val="20"/>
          <w:rFonts w:hint="eastAsia" w:ascii="黑体" w:hAnsi="黑体" w:eastAsia="黑体" w:cs="黑体"/>
          <w:b w:val="0"/>
          <w:bCs w:val="0"/>
          <w:kern w:val="0"/>
          <w:sz w:val="32"/>
          <w:szCs w:val="32"/>
        </w:rPr>
        <w:t>4.3 应急处置</w:t>
      </w:r>
      <w:bookmarkEnd w:id="62"/>
    </w:p>
    <w:p>
      <w:pPr>
        <w:pStyle w:val="13"/>
        <w:shd w:val="clear" w:color="auto" w:fill="FFFFFF"/>
        <w:spacing w:beforeAutospacing="0" w:afterAutospacing="0" w:line="64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事态发展变化情况，现场出现急剧恶化的特殊险情时，指挥部在充分考虑技术组和有关方面意见的基础上，依法及时采取处置措施。各应急救援小组按照职责，在指挥部统一领导下，组织相关部门实施应急处置工作。超出本级人民政府应急处置能力，由指挥部提出，报请上级人民政府批准后协调实施。</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4.3.1医疗卫生救助</w:t>
      </w:r>
    </w:p>
    <w:p>
      <w:pPr>
        <w:pStyle w:val="13"/>
        <w:shd w:val="clear" w:color="auto" w:fill="FFFFFF"/>
        <w:spacing w:beforeAutospacing="0" w:afterAutospacing="0" w:line="64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医疗救助由市卫健委负责组织协调，由事发地旗县区卫生行政主管部门具体组织实施。协调有关部门提供医疗设施、特种药品和特种救治装备，组织有关专家、医疗急救队伍，开展紧急医疗救护、现场卫生处置。事故发生地的疾病控制机构根据事故类型，按照专业规程进行现场防疫。必要时，向指挥部申请协调支援。</w:t>
      </w:r>
    </w:p>
    <w:p>
      <w:pPr>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4.3.2 安全防护</w:t>
      </w:r>
    </w:p>
    <w:p>
      <w:pPr>
        <w:pStyle w:val="13"/>
        <w:shd w:val="clear" w:color="auto" w:fill="FFFFFF"/>
        <w:spacing w:beforeAutospacing="0" w:afterAutospacing="0" w:line="64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指挥部应当对事发地现场安全情况进行科学评估，保障现场应急工作人员人生安全，应急救援人员应携带专业防护装备，采取安全防护措施，严格执行应急救援人员进入和离开事故现场的相关规定。同时根据需要具体协调、调集相应的安全防护装备。</w:t>
      </w:r>
    </w:p>
    <w:p>
      <w:pPr>
        <w:pStyle w:val="13"/>
        <w:shd w:val="clear" w:color="auto" w:fill="FFFFFF"/>
        <w:spacing w:beforeAutospacing="0" w:afterAutospacing="0" w:line="64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（1）决定应急状态下群众疏散、转移和安置的方式、方法、范围、路线、程序，并报指挥部。情况紧急时，可边实施、边报告。</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（2）指定有关部门负责组织群众疏散、转移。疏散、转移要选择安全的疏散路线，避免穿越危险区域。</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（3）启用应急避难场所。</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（4）开展医疗救治、防疫和疾病控制工作。</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（5）负责疏散人群及居住地的治安管理。</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4.3.3现场警戒与保卫</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在指挥部统一部署下，现场警戒与保卫，由事故发生地的公安机关及事故单位保卫机构实施。主要工作内容如下：</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（1）保护事故现场和相关区域内人员及财产的安全。</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（2）负责安全保卫、治安管理和现场警戒封闭，阻止未经批准的现场拍摄、采访等；控制旁观者进入事故现场和事故危险区域。</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（3）负责交通管制，进行人员、车辆疏导和分流等工作。</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（4）防止和处理事故现场可能发生的其他刑事、治安案件。</w:t>
      </w:r>
    </w:p>
    <w:p>
      <w:pPr>
        <w:spacing w:line="580" w:lineRule="exact"/>
        <w:ind w:firstLine="640"/>
        <w:rPr>
          <w:rFonts w:ascii="仿宋_GB2312" w:hAnsi="仿宋_GB2312" w:eastAsia="仿宋_GB2312" w:cs="仿宋_GB2312"/>
          <w:sz w:val="32"/>
          <w:szCs w:val="32"/>
        </w:rPr>
      </w:pPr>
      <w:bookmarkStart w:id="63" w:name="_Toc399774354"/>
      <w:bookmarkStart w:id="64" w:name="_Toc16377"/>
      <w:bookmarkStart w:id="65" w:name="_Toc11042"/>
      <w:r>
        <w:rPr>
          <w:rFonts w:hint="eastAsia" w:ascii="仿宋_GB2312" w:hAnsi="仿宋_GB2312" w:eastAsia="仿宋_GB2312" w:cs="仿宋_GB2312"/>
          <w:sz w:val="32"/>
          <w:szCs w:val="32"/>
        </w:rPr>
        <w:t>4.3.4工程抢险</w:t>
      </w:r>
      <w:bookmarkEnd w:id="63"/>
      <w:bookmarkEnd w:id="64"/>
      <w:bookmarkEnd w:id="65"/>
    </w:p>
    <w:p>
      <w:pPr>
        <w:widowControl/>
        <w:spacing w:line="580" w:lineRule="exact"/>
        <w:ind w:firstLine="640"/>
        <w:rPr>
          <w:rFonts w:ascii="仿宋_GB2312" w:hAnsi="仿宋_GB2312" w:eastAsia="仿宋_GB2312" w:cs="仿宋_GB2312"/>
          <w:sz w:val="32"/>
          <w:szCs w:val="32"/>
        </w:rPr>
      </w:pPr>
      <w:bookmarkStart w:id="66" w:name="_Toc329768053"/>
      <w:bookmarkEnd w:id="66"/>
      <w:r>
        <w:rPr>
          <w:rFonts w:hint="eastAsia" w:ascii="仿宋_GB2312" w:hAnsi="仿宋_GB2312" w:eastAsia="仿宋_GB2312" w:cs="仿宋_GB2312"/>
          <w:sz w:val="32"/>
          <w:szCs w:val="32"/>
        </w:rPr>
        <w:t>根据指挥部协调调集有关力量负责对事故毁损的铁路、公路、桥梁、电力、供水等实施抢保证事故现场救援工作需要。</w:t>
      </w:r>
      <w:bookmarkStart w:id="67" w:name="_Toc2434"/>
      <w:bookmarkStart w:id="68" w:name="_Toc11976"/>
      <w:bookmarkStart w:id="69" w:name="_Toc399774356"/>
      <w:r>
        <w:rPr>
          <w:rFonts w:hint="eastAsia" w:ascii="仿宋_GB2312" w:hAnsi="仿宋_GB2312" w:eastAsia="仿宋_GB2312" w:cs="仿宋_GB2312"/>
          <w:sz w:val="32"/>
          <w:szCs w:val="32"/>
        </w:rPr>
        <w:t>在工程抢险救援中，如有</w:t>
      </w:r>
      <w:bookmarkEnd w:id="67"/>
      <w:bookmarkEnd w:id="68"/>
      <w:bookmarkEnd w:id="69"/>
      <w:r>
        <w:rPr>
          <w:rFonts w:hint="eastAsia" w:ascii="仿宋_GB2312" w:hAnsi="仿宋_GB2312" w:eastAsia="仿宋_GB2312" w:cs="仿宋_GB2312"/>
          <w:sz w:val="32"/>
          <w:szCs w:val="32"/>
        </w:rPr>
        <w:t>涉及到特殊作业时，严格执行特殊作业管理规定。</w:t>
      </w:r>
    </w:p>
    <w:p>
      <w:pPr>
        <w:spacing w:line="580" w:lineRule="exact"/>
        <w:ind w:firstLine="640"/>
        <w:rPr>
          <w:rFonts w:ascii="仿宋_GB2312" w:hAnsi="仿宋_GB2312" w:eastAsia="仿宋_GB2312" w:cs="仿宋_GB2312"/>
          <w:sz w:val="32"/>
          <w:szCs w:val="32"/>
        </w:rPr>
      </w:pPr>
      <w:bookmarkStart w:id="70" w:name="_Toc329768057"/>
      <w:bookmarkEnd w:id="70"/>
      <w:bookmarkStart w:id="71" w:name="_Toc12422"/>
      <w:bookmarkStart w:id="72" w:name="_Toc12115"/>
      <w:bookmarkStart w:id="73" w:name="_Toc399774359"/>
      <w:r>
        <w:rPr>
          <w:rFonts w:hint="eastAsia" w:ascii="仿宋_GB2312" w:hAnsi="仿宋_GB2312" w:eastAsia="仿宋_GB2312" w:cs="仿宋_GB2312"/>
          <w:sz w:val="32"/>
          <w:szCs w:val="32"/>
        </w:rPr>
        <w:t>4.3.5 洗消处理</w:t>
      </w:r>
      <w:bookmarkEnd w:id="71"/>
      <w:bookmarkEnd w:id="72"/>
      <w:bookmarkEnd w:id="73"/>
    </w:p>
    <w:p>
      <w:pPr>
        <w:widowControl/>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有毒有害物质泄漏事故染毒区域内人员、装备器材，必须进行现场洗消。</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4.3.6社会力量动员与参与</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1、事发地旗县区人民政府（管委会）应组织辖区社会力量参与应急救援工作。必要时，报请市人民政府组织动员全市相关社会力量。</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生产安全事故出现紧急情况时，提请市人民政府向单位和个人征用应急救援所需设备、设施、场地、交通工具和其他物资，要求生产、供应生活必需品和应急救援物资的企业组织生产、保证供给，要求提供医疗、交通等公共服务的组织提供相应的服务。</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3、超出事发地旗县区人民政府及各管委会处置能力，应向市人民政府申请支援。</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4、紧急情况下，因救灾需要，请求调集辖区内人民解放军、武警部队和民兵预备役部队参与事故救援行动。</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74" w:name="_Toc31044"/>
      <w:r>
        <w:rPr>
          <w:rStyle w:val="20"/>
          <w:rFonts w:hint="eastAsia" w:ascii="黑体" w:hAnsi="黑体" w:eastAsia="黑体" w:cs="黑体"/>
          <w:b w:val="0"/>
          <w:bCs w:val="0"/>
          <w:kern w:val="0"/>
          <w:sz w:val="32"/>
          <w:szCs w:val="32"/>
        </w:rPr>
        <w:t>4.4现场监测与评估</w:t>
      </w:r>
      <w:bookmarkEnd w:id="74"/>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指挥部根据需要，调动现场监测组及专业机构进行现场监测、评估。主要工作内容如下：</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1、综合分析和评价检测数据，查找事故原因，评估事故发展趋势，预测事故后果，为制订现场抢救方案和事故调查提供参考。</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2、对现场事故规模、影响边界及气象条件，对食物和饮用水卫生以及水体、土壤、农作物等的污染，可能产生的二次反应有害物，爆炸危险性和受损建筑垮塌的危险性以及污染物质滞留区等进行监测。</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3、指导现场群众疏散以及提供应急救援所需的有关综合性报告和气象、地质、水文资料。</w:t>
      </w:r>
    </w:p>
    <w:p>
      <w:pPr>
        <w:pStyle w:val="13"/>
        <w:shd w:val="clear" w:color="auto" w:fill="FFFFFF"/>
        <w:spacing w:beforeAutospacing="0" w:afterAutospacing="0" w:line="58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检测与评估结果要及时向市应急指挥部报告。</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75" w:name="_Toc17549"/>
      <w:r>
        <w:rPr>
          <w:rStyle w:val="20"/>
          <w:rFonts w:hint="eastAsia" w:ascii="黑体" w:hAnsi="黑体" w:eastAsia="黑体" w:cs="黑体"/>
          <w:b w:val="0"/>
          <w:bCs w:val="0"/>
          <w:kern w:val="0"/>
          <w:sz w:val="32"/>
          <w:szCs w:val="32"/>
        </w:rPr>
        <w:t>4.5 信息发布</w:t>
      </w:r>
      <w:bookmarkEnd w:id="75"/>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1、发生</w:t>
      </w:r>
      <w:r>
        <w:rPr>
          <w:rFonts w:hint="eastAsia" w:ascii="仿宋_GB2312" w:hAnsi="仿宋_GB2312" w:eastAsia="仿宋_GB2312" w:cs="仿宋_GB2312"/>
          <w:kern w:val="2"/>
          <w:sz w:val="32"/>
          <w:szCs w:val="32"/>
          <w:lang w:eastAsia="zh-CN"/>
        </w:rPr>
        <w:t>较大以上</w:t>
      </w:r>
      <w:r>
        <w:rPr>
          <w:rFonts w:hint="eastAsia" w:ascii="仿宋_GB2312" w:hAnsi="仿宋_GB2312" w:eastAsia="仿宋_GB2312" w:cs="仿宋_GB2312"/>
          <w:kern w:val="2"/>
          <w:sz w:val="32"/>
          <w:szCs w:val="32"/>
        </w:rPr>
        <w:t>生产安全事故，在市委宣传部的指导下，依照突发事件新闻发布有关规定，由事发地宣传部门负责组织协调，指挥部办公室会同事故单位行业主管部门和旗县区人民政府负责适用本预案范围内事故信息的发布工作。相关部门和机构应负责提供有关信息，指定专人负责信息汇集的新闻舆情联络工作，迅速拟定信息发布方案、确定发布内容，及时采用适当方式发布信息，客观地组织报道事故事实和抢险救援、善后工作等相关事宜。必要时，由市人民政府组织发布。</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2、信息发布应当及时、准确、客观、全面。事故发生的第一时间要向社会发布简要信息，随后发布初步核实情况、政府应对措施和公众防范措施等，并根据事故处置情况做好后续信息发布工作。</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76" w:name="_Toc3538"/>
      <w:r>
        <w:rPr>
          <w:rStyle w:val="20"/>
          <w:rFonts w:hint="eastAsia" w:ascii="黑体" w:hAnsi="黑体" w:eastAsia="黑体" w:cs="黑体"/>
          <w:b w:val="0"/>
          <w:bCs w:val="0"/>
          <w:kern w:val="0"/>
          <w:sz w:val="32"/>
          <w:szCs w:val="32"/>
        </w:rPr>
        <w:t>4.6响应结束</w:t>
      </w:r>
      <w:bookmarkEnd w:id="76"/>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1、符合下列条件的，即满足应急终止条件：</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（1）事故现场得到控制，事故和隐患已经消除，环境符合有关标准。</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（2）遇险人员获救或部分失踪人员经寻找和搜救，现场应急救援指挥部确认无生还希望的。</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（3）事故所造成的危害和影响已经消除，无继发可能。</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2、应急终止程序</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（1）经现场应急救援指挥部确认，或事故责任单位提出，按照谁启动谁终止的原则，报请启动机构批准结束现场应急处置工作，并对外宣布结束应急状态。</w:t>
      </w:r>
    </w:p>
    <w:p>
      <w:pPr>
        <w:pStyle w:val="13"/>
        <w:shd w:val="clear" w:color="auto" w:fill="FFFFFF"/>
        <w:spacing w:beforeAutospacing="0" w:afterAutospacing="0"/>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（2）由现场救援指挥部向所属各应急救援队伍下达应急终止命令。</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77" w:name="_Toc456389653"/>
      <w:bookmarkStart w:id="78" w:name="_Toc25813"/>
      <w:bookmarkStart w:id="79" w:name="_Toc8928"/>
      <w:bookmarkStart w:id="80" w:name="_Toc456388911"/>
      <w:bookmarkStart w:id="81" w:name="_Toc13308"/>
      <w:r>
        <w:rPr>
          <w:rStyle w:val="20"/>
          <w:rFonts w:hint="eastAsia" w:ascii="黑体" w:hAnsi="黑体" w:eastAsia="黑体" w:cs="黑体"/>
          <w:b w:val="0"/>
          <w:bCs w:val="0"/>
          <w:kern w:val="0"/>
          <w:sz w:val="32"/>
          <w:szCs w:val="32"/>
        </w:rPr>
        <w:t>4.7现场恢复</w:t>
      </w:r>
      <w:bookmarkEnd w:id="77"/>
      <w:bookmarkEnd w:id="78"/>
      <w:bookmarkEnd w:id="79"/>
      <w:bookmarkEnd w:id="80"/>
      <w:bookmarkEnd w:id="81"/>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1、由事故发生单位组织相关部门和专业技术人员进行现场恢复，现场恢复包括现场清理和恢复现场所有功能。</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2、现场恢复前应进行必要的调查取证工作，包括录像、拍照、绘图等，并将有关资料移交给事故调查工作组。</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3、清理现场应制定相应的计划并采取相应的防护措施，防止发生次生、衍生事故。</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4、现场公共设施功能的恢复，由旗县区人民政府（管委会）负责制定相应的计划和防护措施后组织实施。</w:t>
      </w:r>
    </w:p>
    <w:p>
      <w:pPr>
        <w:ind w:firstLine="560"/>
        <w:rPr>
          <w:rFonts w:ascii="仿宋_GB2312" w:hAnsi="仿宋_GB2312" w:eastAsia="仿宋_GB2312" w:cs="仿宋_GB2312"/>
        </w:rPr>
      </w:pPr>
      <w:r>
        <w:rPr>
          <w:rFonts w:hint="eastAsia" w:ascii="仿宋_GB2312" w:hAnsi="仿宋_GB2312" w:eastAsia="仿宋_GB2312" w:cs="仿宋_GB2312"/>
        </w:rPr>
        <w:br w:type="page"/>
      </w:r>
    </w:p>
    <w:p>
      <w:pPr>
        <w:pStyle w:val="8"/>
        <w:spacing w:line="550" w:lineRule="exact"/>
        <w:ind w:firstLine="0" w:firstLineChars="0"/>
        <w:jc w:val="center"/>
        <w:outlineLvl w:val="0"/>
        <w:rPr>
          <w:rFonts w:ascii="仿宋_GB2312" w:hAnsi="仿宋_GB2312" w:eastAsia="仿宋_GB2312" w:cs="仿宋_GB2312"/>
          <w:b/>
          <w:sz w:val="32"/>
          <w:szCs w:val="32"/>
        </w:rPr>
      </w:pPr>
      <w:bookmarkStart w:id="82" w:name="_Toc27333"/>
      <w:r>
        <w:rPr>
          <w:rFonts w:hint="eastAsia" w:ascii="仿宋_GB2312" w:hAnsi="仿宋_GB2312" w:eastAsia="仿宋_GB2312" w:cs="仿宋_GB2312"/>
          <w:b/>
          <w:sz w:val="32"/>
          <w:szCs w:val="32"/>
        </w:rPr>
        <w:t>5后期处置</w:t>
      </w:r>
      <w:bookmarkEnd w:id="82"/>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83" w:name="_Toc3512"/>
      <w:r>
        <w:rPr>
          <w:rStyle w:val="20"/>
          <w:rFonts w:hint="eastAsia" w:ascii="黑体" w:hAnsi="黑体" w:eastAsia="黑体" w:cs="黑体"/>
          <w:b w:val="0"/>
          <w:bCs w:val="0"/>
          <w:kern w:val="0"/>
          <w:sz w:val="32"/>
          <w:szCs w:val="32"/>
        </w:rPr>
        <w:t>5.1 善后处置</w:t>
      </w:r>
      <w:bookmarkEnd w:id="83"/>
    </w:p>
    <w:p>
      <w:pPr>
        <w:pStyle w:val="13"/>
        <w:shd w:val="clear" w:color="auto" w:fill="FFFFFF"/>
        <w:spacing w:beforeAutospacing="0" w:afterAutospacing="0" w:line="62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预案适用范围内的生产安全事故的善后处置工作，在市人民政府的领导下，由市相关部门负责指导协调，旗县区人民政府（管委会）负责组织实施，事故单位及其主管部门配合。善后处置主要包括人员安置、补偿，征用物资补偿，灾后重建，污染物收集、清理与处理等事项。善后处置责任部门（单位）应当尽快消除事故影响，妥善安置和慰问受害人员及受影响群众，做好事故伤亡人员家属的安抚工作；依据法律政策负责遇难者及其家属的善后处理及受伤人员的医疗救助等，确保社会稳定，尽快恢复正常生活生产秩序。</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84" w:name="_Toc17798"/>
      <w:r>
        <w:rPr>
          <w:rStyle w:val="20"/>
          <w:rFonts w:hint="eastAsia" w:ascii="黑体" w:hAnsi="黑体" w:eastAsia="黑体" w:cs="黑体"/>
          <w:b w:val="0"/>
          <w:bCs w:val="0"/>
          <w:kern w:val="0"/>
          <w:sz w:val="32"/>
          <w:szCs w:val="32"/>
        </w:rPr>
        <w:t>5.2 保险理赔</w:t>
      </w:r>
      <w:bookmarkEnd w:id="84"/>
    </w:p>
    <w:p>
      <w:pPr>
        <w:pStyle w:val="13"/>
        <w:shd w:val="clear" w:color="auto" w:fill="FFFFFF"/>
        <w:spacing w:beforeAutospacing="0" w:afterAutospacing="0" w:line="62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1、建立健全生产安全事故社会保险机制。可能引发重特大事故的企事业单位，应依法办理相关责任险或其他险种，预防和减少事故损失。</w:t>
      </w:r>
    </w:p>
    <w:p>
      <w:pPr>
        <w:pStyle w:val="13"/>
        <w:shd w:val="clear" w:color="auto" w:fill="FFFFFF"/>
        <w:spacing w:beforeAutospacing="0" w:afterAutospacing="0" w:line="620" w:lineRule="exact"/>
        <w:ind w:firstLine="64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2、保险机构应及时开展应急救援人员、单位的保险受理。当生产安全事故发生后，保险机构应及时开展受灾人员、单位和应急救援人员的保险理赔工作。</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85" w:name="_Toc16215"/>
      <w:r>
        <w:rPr>
          <w:rStyle w:val="20"/>
          <w:rFonts w:hint="eastAsia" w:ascii="黑体" w:hAnsi="黑体" w:eastAsia="黑体" w:cs="黑体"/>
          <w:b w:val="0"/>
          <w:bCs w:val="0"/>
          <w:kern w:val="0"/>
          <w:sz w:val="32"/>
          <w:szCs w:val="32"/>
        </w:rPr>
        <w:t>5.3应急总结、评估及改进</w:t>
      </w:r>
      <w:bookmarkEnd w:id="85"/>
    </w:p>
    <w:p>
      <w:pPr>
        <w:widowControl/>
        <w:spacing w:line="6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生产安全事故善后处置工作结束后，指挥部及事故主管部门应分析总结应急救援经验教训，提出改进应急处置工作的建议，于应急终止后20个工作日内完成应急救援总结报告，报送市人民政府。根据应急救援总结报告，指挥部办公室定期组织有关部门分析、研究，提出改进应急救援工作的意见。</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2、市人民政府组织有关部门定期对相关应急预案实施情况进行评估，并及时组织修订。</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3、市人民政府负责组织、指导应急队伍的建设、应急设备器材的维护保养、个人安全防护用品的补充等。</w:t>
      </w:r>
    </w:p>
    <w:p>
      <w:pPr>
        <w:pStyle w:val="3"/>
        <w:spacing w:beforeLines="50" w:afterLines="50"/>
        <w:rPr>
          <w:rFonts w:hAnsi="仿宋_GB2312" w:eastAsia="仿宋_GB2312" w:cs="仿宋_GB2312"/>
        </w:rPr>
      </w:pPr>
      <w:r>
        <w:rPr>
          <w:rFonts w:hint="eastAsia" w:hAnsi="仿宋_GB2312" w:eastAsia="仿宋_GB2312" w:cs="仿宋_GB2312"/>
          <w:sz w:val="44"/>
          <w:szCs w:val="44"/>
        </w:rPr>
        <w:br w:type="page"/>
      </w:r>
      <w:bookmarkStart w:id="86" w:name="_Toc456389671"/>
      <w:bookmarkStart w:id="87" w:name="_Toc456388929"/>
      <w:bookmarkStart w:id="88" w:name="_Toc6855"/>
      <w:bookmarkStart w:id="89" w:name="_Toc9380"/>
      <w:bookmarkStart w:id="90" w:name="_Toc22736"/>
      <w:r>
        <w:rPr>
          <w:rFonts w:hint="eastAsia" w:hAnsi="仿宋_GB2312" w:eastAsia="仿宋_GB2312" w:cs="仿宋_GB2312"/>
        </w:rPr>
        <w:t>6应急培训与演练</w:t>
      </w:r>
      <w:bookmarkEnd w:id="86"/>
      <w:bookmarkEnd w:id="87"/>
      <w:bookmarkEnd w:id="88"/>
      <w:bookmarkEnd w:id="89"/>
      <w:bookmarkEnd w:id="90"/>
    </w:p>
    <w:p>
      <w:pPr>
        <w:keepNext w:val="0"/>
        <w:keepLines w:val="0"/>
        <w:pageBreakBefore w:val="0"/>
        <w:shd w:val="clear" w:color="auto" w:fill="FFFFFF"/>
        <w:kinsoku/>
        <w:wordWrap/>
        <w:overflowPunct/>
        <w:topLinePunct w:val="0"/>
        <w:autoSpaceDE/>
        <w:autoSpaceDN/>
        <w:bidi w:val="0"/>
        <w:adjustRightInd/>
        <w:snapToGrid/>
        <w:spacing w:line="620" w:lineRule="exact"/>
        <w:ind w:firstLine="640"/>
        <w:jc w:val="both"/>
        <w:textAlignment w:val="auto"/>
        <w:outlineLvl w:val="1"/>
        <w:rPr>
          <w:rStyle w:val="20"/>
          <w:rFonts w:ascii="黑体" w:hAnsi="黑体" w:eastAsia="黑体" w:cs="黑体"/>
          <w:b w:val="0"/>
          <w:bCs w:val="0"/>
          <w:kern w:val="0"/>
          <w:sz w:val="32"/>
          <w:szCs w:val="32"/>
        </w:rPr>
      </w:pPr>
      <w:bookmarkStart w:id="91" w:name="_Toc329768085"/>
      <w:bookmarkEnd w:id="91"/>
      <w:bookmarkStart w:id="92" w:name="_Toc6448"/>
      <w:r>
        <w:rPr>
          <w:rStyle w:val="20"/>
          <w:rFonts w:hint="eastAsia" w:ascii="黑体" w:hAnsi="黑体" w:eastAsia="黑体" w:cs="黑体"/>
          <w:b w:val="0"/>
          <w:bCs w:val="0"/>
          <w:kern w:val="0"/>
          <w:sz w:val="32"/>
          <w:szCs w:val="32"/>
        </w:rPr>
        <w:t>6.1 宣传、培训和演习</w:t>
      </w:r>
      <w:bookmarkEnd w:id="92"/>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1、宣传教育</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（1）在市人民政府的领导下，相关部门要充分利用各种媒体、采取多种方式，组织开展应急法律法规和事故预防、避险、避灾、自救、互救常识的宣传工作。各种媒体要提供相关支持，无偿开展公益宣传。</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（2）各旗县区及巴彦淖尔经济技术开发区、甘其毛都口岸管委会要结合实际，负责本地区、本系统应急工作宣传、教育，提高全民的应急防范意识。</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（3）企业与所在地政府、社区、村委会建立互动机制，向周边群众宣传相关应急知识。</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2、培训</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（1）各有关部门在职责范围内负责生产安全事故应急救援管理人员和专业人员的安全知识、专业知识、新技术应用等方面的综合培训。</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（2）有关部门指导本行业应急管理机构以及专业救援队伍开展相关人员的上岗培训和业务培训。积极组织社会志愿者的培训。</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（3）各级党校、行政学院应当将生产安全事故应急管理内容列入干部培训课程。</w:t>
      </w:r>
    </w:p>
    <w:p>
      <w:pPr>
        <w:keepNext w:val="0"/>
        <w:keepLines w:val="0"/>
        <w:pageBreakBefore w:val="0"/>
        <w:shd w:val="clear" w:color="auto" w:fill="FFFFFF"/>
        <w:kinsoku/>
        <w:wordWrap/>
        <w:overflowPunct/>
        <w:topLinePunct w:val="0"/>
        <w:autoSpaceDE/>
        <w:autoSpaceDN/>
        <w:bidi w:val="0"/>
        <w:adjustRightInd/>
        <w:snapToGrid/>
        <w:spacing w:line="620" w:lineRule="exact"/>
        <w:ind w:firstLine="640"/>
        <w:jc w:val="both"/>
        <w:textAlignment w:val="auto"/>
        <w:outlineLvl w:val="1"/>
        <w:rPr>
          <w:rStyle w:val="20"/>
          <w:rFonts w:ascii="黑体" w:hAnsi="黑体" w:eastAsia="黑体" w:cs="黑体"/>
          <w:b w:val="0"/>
          <w:bCs w:val="0"/>
          <w:kern w:val="0"/>
          <w:sz w:val="32"/>
          <w:szCs w:val="32"/>
        </w:rPr>
      </w:pPr>
      <w:bookmarkStart w:id="93" w:name="_Toc14375"/>
      <w:r>
        <w:rPr>
          <w:rStyle w:val="20"/>
          <w:rFonts w:hint="eastAsia" w:ascii="黑体" w:hAnsi="黑体" w:eastAsia="黑体" w:cs="黑体"/>
          <w:b w:val="0"/>
          <w:bCs w:val="0"/>
          <w:kern w:val="0"/>
          <w:sz w:val="32"/>
          <w:szCs w:val="32"/>
        </w:rPr>
        <w:t>6.2 演练</w:t>
      </w:r>
      <w:bookmarkEnd w:id="93"/>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（1）各有关部门在职责范围内组织、指导、协调生产安全事故应急演练工作。其中，指挥部办公室负责组织综合应急预案演练。</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（2）全市生产安全事故综合演练每三年至少开展一次。各专业应急机构每年至少组织一次生产安全事故应急演练。各企事业单位应当根据自身特点，每年至少组织一次本单位的应急演练。</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（3）相关部门的专业应急机构组织演习结束后，将演练总结以书面形式报送有关部门备案。</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（4）综合演练结束后，向市人民政府提交书面总结报告。</w:t>
      </w:r>
    </w:p>
    <w:p>
      <w:pPr>
        <w:keepNext w:val="0"/>
        <w:keepLines w:val="0"/>
        <w:pageBreakBefore w:val="0"/>
        <w:shd w:val="clear" w:color="auto" w:fill="FFFFFF"/>
        <w:kinsoku/>
        <w:wordWrap/>
        <w:overflowPunct/>
        <w:topLinePunct w:val="0"/>
        <w:autoSpaceDE/>
        <w:autoSpaceDN/>
        <w:bidi w:val="0"/>
        <w:adjustRightInd/>
        <w:snapToGrid/>
        <w:spacing w:line="620" w:lineRule="exact"/>
        <w:ind w:firstLine="640"/>
        <w:jc w:val="both"/>
        <w:textAlignment w:val="auto"/>
        <w:outlineLvl w:val="1"/>
        <w:rPr>
          <w:rStyle w:val="20"/>
          <w:rFonts w:ascii="黑体" w:hAnsi="黑体" w:eastAsia="黑体" w:cs="黑体"/>
          <w:b w:val="0"/>
          <w:bCs w:val="0"/>
          <w:kern w:val="0"/>
          <w:sz w:val="32"/>
          <w:szCs w:val="32"/>
        </w:rPr>
      </w:pPr>
      <w:bookmarkStart w:id="94" w:name="_Toc26529"/>
      <w:r>
        <w:rPr>
          <w:rStyle w:val="20"/>
          <w:rFonts w:hint="eastAsia" w:ascii="黑体" w:hAnsi="黑体" w:eastAsia="黑体" w:cs="黑体"/>
          <w:b w:val="0"/>
          <w:bCs w:val="0"/>
          <w:kern w:val="0"/>
          <w:sz w:val="32"/>
          <w:szCs w:val="32"/>
        </w:rPr>
        <w:t>6.3应急演练应包括以下几项内容：</w:t>
      </w:r>
      <w:bookmarkEnd w:id="94"/>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（1）预警和报警；</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（2）决策；</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（3）指挥和控制；</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（4）警戒疏散；</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（5）交通管制；</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（6）应急救援；</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（7）交通运输；</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（8）医疗救护；</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（9）特别指令；</w:t>
      </w:r>
    </w:p>
    <w:p>
      <w:pPr>
        <w:keepNext w:val="0"/>
        <w:keepLines w:val="0"/>
        <w:pageBreakBefore w:val="0"/>
        <w:widowControl/>
        <w:kinsoku/>
        <w:wordWrap/>
        <w:overflowPunct/>
        <w:topLinePunct w:val="0"/>
        <w:autoSpaceDE/>
        <w:autoSpaceDN/>
        <w:bidi w:val="0"/>
        <w:adjustRightInd/>
        <w:snapToGrid/>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（10）其他。</w:t>
      </w:r>
    </w:p>
    <w:p>
      <w:pPr>
        <w:keepNext w:val="0"/>
        <w:keepLines w:val="0"/>
        <w:pageBreakBefore w:val="0"/>
        <w:kinsoku/>
        <w:wordWrap/>
        <w:overflowPunct/>
        <w:topLinePunct w:val="0"/>
        <w:autoSpaceDE/>
        <w:autoSpaceDN/>
        <w:bidi w:val="0"/>
        <w:adjustRightInd/>
        <w:snapToGrid/>
        <w:spacing w:line="620" w:lineRule="exact"/>
        <w:ind w:firstLine="560"/>
        <w:textAlignment w:val="auto"/>
        <w:rPr>
          <w:rFonts w:ascii="仿宋_GB2312" w:hAnsi="仿宋_GB2312" w:eastAsia="仿宋_GB2312" w:cs="仿宋_GB2312"/>
          <w:sz w:val="44"/>
          <w:szCs w:val="44"/>
        </w:rPr>
      </w:pPr>
      <w:bookmarkStart w:id="95" w:name="_Toc329768090"/>
      <w:bookmarkEnd w:id="95"/>
      <w:bookmarkStart w:id="96" w:name="_Toc13545"/>
      <w:bookmarkStart w:id="97" w:name="_Toc8541"/>
      <w:r>
        <w:rPr>
          <w:rFonts w:hint="eastAsia" w:ascii="仿宋_GB2312" w:hAnsi="仿宋_GB2312" w:eastAsia="仿宋_GB2312" w:cs="仿宋_GB2312"/>
        </w:rPr>
        <w:br w:type="page"/>
      </w:r>
      <w:bookmarkEnd w:id="96"/>
      <w:bookmarkEnd w:id="97"/>
      <w:bookmarkStart w:id="98" w:name="_Toc456388938"/>
      <w:bookmarkStart w:id="99" w:name="_Toc456389680"/>
      <w:bookmarkStart w:id="100" w:name="_Toc30822"/>
      <w:bookmarkStart w:id="101" w:name="_Toc20156"/>
    </w:p>
    <w:p>
      <w:pPr>
        <w:pStyle w:val="8"/>
        <w:keepNext w:val="0"/>
        <w:keepLines w:val="0"/>
        <w:pageBreakBefore w:val="0"/>
        <w:widowControl w:val="0"/>
        <w:kinsoku/>
        <w:wordWrap/>
        <w:overflowPunct/>
        <w:topLinePunct w:val="0"/>
        <w:autoSpaceDE/>
        <w:autoSpaceDN/>
        <w:bidi w:val="0"/>
        <w:adjustRightInd/>
        <w:snapToGrid/>
        <w:spacing w:line="830" w:lineRule="exact"/>
        <w:ind w:firstLine="0" w:firstLineChars="0"/>
        <w:jc w:val="center"/>
        <w:textAlignment w:val="auto"/>
        <w:outlineLvl w:val="0"/>
        <w:rPr>
          <w:rFonts w:hint="eastAsia" w:ascii="仿宋_GB2312" w:hAnsi="仿宋_GB2312" w:eastAsia="仿宋_GB2312" w:cs="仿宋_GB2312"/>
          <w:b/>
          <w:kern w:val="2"/>
          <w:sz w:val="32"/>
          <w:szCs w:val="32"/>
          <w:lang w:val="en-US" w:eastAsia="zh-CN" w:bidi="ar-SA"/>
        </w:rPr>
      </w:pPr>
      <w:bookmarkStart w:id="102" w:name="_Toc28035"/>
      <w:r>
        <w:rPr>
          <w:rFonts w:hint="eastAsia" w:ascii="仿宋_GB2312" w:hAnsi="仿宋_GB2312" w:eastAsia="仿宋_GB2312" w:cs="仿宋_GB2312"/>
          <w:b/>
          <w:kern w:val="2"/>
          <w:sz w:val="32"/>
          <w:szCs w:val="32"/>
          <w:lang w:val="en-US" w:eastAsia="zh-CN" w:bidi="ar-SA"/>
        </w:rPr>
        <w:t>7 附则</w:t>
      </w:r>
      <w:bookmarkEnd w:id="98"/>
      <w:bookmarkEnd w:id="99"/>
      <w:bookmarkEnd w:id="100"/>
      <w:bookmarkEnd w:id="101"/>
      <w:bookmarkEnd w:id="102"/>
    </w:p>
    <w:p>
      <w:pPr>
        <w:shd w:val="clear" w:color="auto" w:fill="FFFFFF"/>
        <w:ind w:firstLine="640"/>
        <w:jc w:val="both"/>
        <w:outlineLvl w:val="1"/>
        <w:rPr>
          <w:rStyle w:val="20"/>
          <w:rFonts w:ascii="黑体" w:hAnsi="黑体" w:eastAsia="黑体" w:cs="黑体"/>
          <w:b w:val="0"/>
          <w:bCs w:val="0"/>
          <w:kern w:val="0"/>
          <w:sz w:val="32"/>
          <w:szCs w:val="32"/>
        </w:rPr>
      </w:pPr>
      <w:bookmarkStart w:id="103" w:name="_Toc329768094"/>
      <w:bookmarkEnd w:id="103"/>
      <w:bookmarkStart w:id="104" w:name="_Toc12956"/>
      <w:r>
        <w:rPr>
          <w:rStyle w:val="20"/>
          <w:rFonts w:hint="eastAsia" w:ascii="黑体" w:hAnsi="黑体" w:eastAsia="黑体" w:cs="黑体"/>
          <w:b w:val="0"/>
          <w:bCs w:val="0"/>
          <w:kern w:val="0"/>
          <w:sz w:val="32"/>
          <w:szCs w:val="32"/>
        </w:rPr>
        <w:t>7.1 预案管理与更新</w:t>
      </w:r>
      <w:bookmarkEnd w:id="104"/>
    </w:p>
    <w:p>
      <w:pPr>
        <w:widowControl/>
        <w:tabs>
          <w:tab w:val="left" w:pos="3360"/>
        </w:tabs>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根据应急管理相关法律法规制定、修改、完善，部门职责、应急措施、应急资源发生变化或预案实施过程中发现问题或出现新情况，及时组织修订完善本预案，报送市人民政府批准后实施。</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有下列情形之一的，生产安全事故应急救援预案应当及时修订预案：</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1、制定预案所依据的法律、法规、规章、标准发生重大变化；</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2、应急指挥机构及其职责发生调整；</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3、安全生产面临的风险发生重大变化；</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4、重要应急资源发生重大变化；</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5、在预案演练或者应急救援中发现需要修订预案的重大问题；</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6、其他应当修订的情形。</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本预案由指挥部办公室牵头编制，经市人民政府常务会议或专题会议审议，以市人民政府办公室名义印发；上报自治区应急管理厅备案。</w:t>
      </w:r>
    </w:p>
    <w:p>
      <w:pPr>
        <w:shd w:val="clear" w:color="auto" w:fill="FFFFFF"/>
        <w:ind w:firstLine="640"/>
        <w:jc w:val="both"/>
        <w:outlineLvl w:val="1"/>
        <w:rPr>
          <w:rStyle w:val="20"/>
          <w:rFonts w:ascii="黑体" w:hAnsi="黑体" w:eastAsia="黑体" w:cs="黑体"/>
          <w:b w:val="0"/>
          <w:bCs w:val="0"/>
          <w:kern w:val="0"/>
          <w:sz w:val="32"/>
          <w:szCs w:val="32"/>
        </w:rPr>
      </w:pPr>
      <w:bookmarkStart w:id="105" w:name="_Toc25611"/>
      <w:r>
        <w:rPr>
          <w:rStyle w:val="20"/>
          <w:rFonts w:hint="eastAsia" w:ascii="黑体" w:hAnsi="黑体" w:eastAsia="黑体" w:cs="黑体"/>
          <w:b w:val="0"/>
          <w:bCs w:val="0"/>
          <w:kern w:val="0"/>
          <w:sz w:val="32"/>
          <w:szCs w:val="32"/>
        </w:rPr>
        <w:t>7.2 其他要求</w:t>
      </w:r>
      <w:bookmarkEnd w:id="105"/>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（1）任何单位和个人有义务依法参与、支持、配合事故应急救援工作并提供便利条件。</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（2）在事故应急救援过程中紧急调用的物资、设备、车辆、人员和占用场地，任何组织和个人都不得阻拦或拒绝。事故应急救援结束后应及时归还或依法给予适当补偿。</w:t>
      </w:r>
    </w:p>
    <w:p>
      <w:pPr>
        <w:shd w:val="clear" w:color="auto" w:fill="FFFFFF"/>
        <w:ind w:firstLine="640"/>
        <w:jc w:val="both"/>
        <w:outlineLvl w:val="1"/>
        <w:rPr>
          <w:rStyle w:val="20"/>
          <w:rFonts w:ascii="黑体" w:hAnsi="黑体" w:eastAsia="黑体" w:cs="黑体"/>
          <w:b w:val="0"/>
          <w:bCs w:val="0"/>
          <w:kern w:val="0"/>
          <w:sz w:val="32"/>
          <w:szCs w:val="32"/>
        </w:rPr>
      </w:pPr>
      <w:bookmarkStart w:id="106" w:name="_Toc32445"/>
      <w:r>
        <w:rPr>
          <w:rStyle w:val="20"/>
          <w:rFonts w:hint="eastAsia" w:ascii="黑体" w:hAnsi="黑体" w:eastAsia="黑体" w:cs="黑体"/>
          <w:b w:val="0"/>
          <w:bCs w:val="0"/>
          <w:kern w:val="0"/>
          <w:sz w:val="32"/>
          <w:szCs w:val="32"/>
        </w:rPr>
        <w:t>7.3 预案解释部门</w:t>
      </w:r>
      <w:bookmarkEnd w:id="106"/>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本预案授权市巴彦淖尔市生产安全事故应急指挥部办公室负责解释。</w:t>
      </w:r>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107" w:name="_Toc19991"/>
      <w:r>
        <w:rPr>
          <w:rStyle w:val="20"/>
          <w:rFonts w:hint="eastAsia" w:ascii="黑体" w:hAnsi="黑体" w:eastAsia="黑体" w:cs="黑体"/>
          <w:b w:val="0"/>
          <w:bCs w:val="0"/>
          <w:kern w:val="0"/>
          <w:sz w:val="32"/>
          <w:szCs w:val="32"/>
        </w:rPr>
        <w:t>7.4 预案实施时间</w:t>
      </w:r>
      <w:bookmarkEnd w:id="107"/>
    </w:p>
    <w:p>
      <w:pPr>
        <w:pStyle w:val="13"/>
        <w:shd w:val="clear" w:color="auto" w:fill="FFFFFF"/>
        <w:spacing w:beforeAutospacing="0" w:afterAutospacing="0"/>
        <w:ind w:firstLine="640"/>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本预案自印发之日起实施。</w:t>
      </w:r>
    </w:p>
    <w:p>
      <w:pPr>
        <w:pStyle w:val="14"/>
        <w:spacing w:beforeLines="50" w:afterLines="50" w:line="560" w:lineRule="exact"/>
        <w:rPr>
          <w:rFonts w:hint="eastAsia" w:ascii="仿宋_GB2312" w:hAnsi="仿宋_GB2312" w:eastAsia="仿宋_GB2312" w:cs="仿宋_GB2312"/>
          <w:kern w:val="0"/>
          <w:sz w:val="28"/>
          <w:szCs w:val="28"/>
        </w:rPr>
        <w:sectPr>
          <w:pgSz w:w="11905" w:h="16838"/>
          <w:pgMar w:top="1417" w:right="1134" w:bottom="1134" w:left="1587" w:header="964" w:footer="737" w:gutter="0"/>
          <w:pgNumType w:fmt="numberInDash"/>
          <w:cols w:space="0" w:num="1"/>
          <w:docGrid w:type="lines" w:linePitch="386" w:charSpace="0"/>
        </w:sectPr>
      </w:pPr>
    </w:p>
    <w:p>
      <w:pPr>
        <w:pStyle w:val="14"/>
        <w:spacing w:beforeLines="50" w:afterLines="50" w:line="560" w:lineRule="exact"/>
        <w:rPr>
          <w:rFonts w:hint="eastAsia" w:ascii="仿宋_GB2312" w:hAnsi="仿宋_GB2312" w:eastAsia="仿宋_GB2312" w:cs="仿宋_GB2312"/>
          <w:kern w:val="36"/>
          <w:lang w:val="en-US" w:eastAsia="zh-CN"/>
        </w:rPr>
      </w:pPr>
      <w:bookmarkStart w:id="108" w:name="_Toc329768099"/>
      <w:bookmarkEnd w:id="108"/>
      <w:bookmarkStart w:id="109" w:name="_Toc18643"/>
      <w:bookmarkStart w:id="110" w:name="_Toc456389963"/>
      <w:bookmarkStart w:id="111" w:name="_Toc456389221"/>
      <w:bookmarkStart w:id="112" w:name="_Toc29279"/>
      <w:bookmarkStart w:id="113" w:name="_Toc15466"/>
      <w:r>
        <w:rPr>
          <w:rFonts w:hint="eastAsia" w:ascii="仿宋_GB2312" w:hAnsi="仿宋_GB2312" w:eastAsia="仿宋_GB2312" w:cs="仿宋_GB2312"/>
          <w:bCs w:val="0"/>
          <w:sz w:val="32"/>
        </w:rPr>
        <w:t xml:space="preserve">8 </w:t>
      </w:r>
      <w:bookmarkEnd w:id="109"/>
      <w:bookmarkEnd w:id="110"/>
      <w:bookmarkEnd w:id="111"/>
      <w:bookmarkEnd w:id="112"/>
      <w:r>
        <w:rPr>
          <w:rFonts w:hint="eastAsia" w:ascii="仿宋_GB2312" w:hAnsi="仿宋_GB2312" w:eastAsia="仿宋_GB2312" w:cs="仿宋_GB2312"/>
          <w:bCs w:val="0"/>
          <w:sz w:val="32"/>
          <w:lang w:eastAsia="zh-CN"/>
        </w:rPr>
        <w:t>附录</w:t>
      </w:r>
      <w:bookmarkEnd w:id="113"/>
    </w:p>
    <w:p>
      <w:pPr>
        <w:shd w:val="clear" w:color="auto" w:fill="FFFFFF"/>
        <w:spacing w:line="700" w:lineRule="exact"/>
        <w:ind w:firstLine="640"/>
        <w:jc w:val="both"/>
        <w:outlineLvl w:val="1"/>
        <w:rPr>
          <w:rStyle w:val="20"/>
          <w:rFonts w:ascii="黑体" w:hAnsi="黑体" w:eastAsia="黑体" w:cs="黑体"/>
          <w:b w:val="0"/>
          <w:bCs w:val="0"/>
          <w:kern w:val="0"/>
          <w:sz w:val="32"/>
          <w:szCs w:val="32"/>
        </w:rPr>
      </w:pPr>
      <w:bookmarkStart w:id="114" w:name="_Toc27705"/>
      <w:bookmarkStart w:id="115" w:name="_Toc11131"/>
      <w:bookmarkStart w:id="116" w:name="_Toc456389964"/>
      <w:bookmarkStart w:id="117" w:name="_Toc456389222"/>
      <w:r>
        <w:rPr>
          <w:rStyle w:val="20"/>
          <w:rFonts w:hint="eastAsia" w:ascii="黑体" w:hAnsi="黑体" w:eastAsia="黑体" w:cs="黑体"/>
          <w:b w:val="0"/>
          <w:bCs w:val="0"/>
          <w:kern w:val="0"/>
          <w:sz w:val="32"/>
          <w:szCs w:val="32"/>
        </w:rPr>
        <w:t>8.1应急响应图</w:t>
      </w:r>
      <w:bookmarkEnd w:id="114"/>
      <w:bookmarkEnd w:id="115"/>
    </w:p>
    <w:p>
      <w:pPr>
        <w:ind w:firstLine="560"/>
        <w:rPr>
          <w:rFonts w:hint="eastAsia" w:ascii="仿宋_GB2312" w:hAnsi="仿宋_GB2312" w:eastAsia="仿宋_GB2312" w:cs="仿宋_GB2312"/>
          <w:color w:val="auto"/>
        </w:rPr>
      </w:pPr>
    </w:p>
    <w:p>
      <w:pPr>
        <w:ind w:firstLine="560"/>
        <w:rPr>
          <w:rFonts w:hint="eastAsia" w:ascii="仿宋_GB2312" w:hAnsi="仿宋_GB2312" w:eastAsia="仿宋_GB2312" w:cs="仿宋_GB2312"/>
          <w:color w:val="auto"/>
        </w:rPr>
      </w:pPr>
      <w:r>
        <w:rPr>
          <w:rFonts w:hint="eastAsia" w:ascii="仿宋_GB2312" w:hAnsi="仿宋_GB2312" w:eastAsia="仿宋_GB2312" w:cs="仿宋_GB2312"/>
          <w:color w:val="auto"/>
        </w:rPr>
        <mc:AlternateContent>
          <mc:Choice Requires="wpg">
            <w:drawing>
              <wp:anchor distT="0" distB="0" distL="114300" distR="114300" simplePos="0" relativeHeight="251670528" behindDoc="0" locked="0" layoutInCell="1" allowOverlap="1">
                <wp:simplePos x="0" y="0"/>
                <wp:positionH relativeFrom="column">
                  <wp:posOffset>8255</wp:posOffset>
                </wp:positionH>
                <wp:positionV relativeFrom="paragraph">
                  <wp:posOffset>147320</wp:posOffset>
                </wp:positionV>
                <wp:extent cx="13286740" cy="4864100"/>
                <wp:effectExtent l="4445" t="4445" r="24765" b="27305"/>
                <wp:wrapNone/>
                <wp:docPr id="81" name="组合 81"/>
                <wp:cNvGraphicFramePr/>
                <a:graphic xmlns:a="http://schemas.openxmlformats.org/drawingml/2006/main">
                  <a:graphicData uri="http://schemas.microsoft.com/office/word/2010/wordprocessingGroup">
                    <wpg:wgp>
                      <wpg:cNvGrpSpPr/>
                      <wpg:grpSpPr>
                        <a:xfrm>
                          <a:off x="0" y="0"/>
                          <a:ext cx="13286740" cy="4864100"/>
                          <a:chOff x="1827" y="894044"/>
                          <a:chExt cx="20924" cy="7660"/>
                        </a:xfrm>
                        <a:effectLst/>
                      </wpg:grpSpPr>
                      <wps:wsp>
                        <wps:cNvPr id="86" name="矩形 86"/>
                        <wps:cNvSpPr/>
                        <wps:spPr>
                          <a:xfrm>
                            <a:off x="1871" y="894044"/>
                            <a:ext cx="1800" cy="13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40" w:lineRule="exact"/>
                                <w:ind w:firstLine="0" w:firstLineChars="0"/>
                              </w:pPr>
                              <w:r>
                                <w:rPr>
                                  <w:rFonts w:hint="eastAsia" w:ascii="黑体" w:hAnsi="宋体" w:eastAsia="黑体"/>
                                  <w:color w:val="000000"/>
                                  <w:szCs w:val="28"/>
                                </w:rPr>
                                <w:t>发生本预案适用范围的事故</w:t>
                              </w:r>
                            </w:p>
                          </w:txbxContent>
                        </wps:txbx>
                        <wps:bodyPr upright="1"/>
                      </wps:wsp>
                      <wps:wsp>
                        <wps:cNvPr id="68" name="矩形 68"/>
                        <wps:cNvSpPr/>
                        <wps:spPr>
                          <a:xfrm>
                            <a:off x="4391" y="894044"/>
                            <a:ext cx="1800" cy="140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ind w:firstLine="0" w:firstLineChars="0"/>
                                <w:rPr>
                                  <w:rFonts w:ascii="黑体" w:hAnsi="宋体" w:eastAsia="黑体"/>
                                  <w:szCs w:val="28"/>
                                </w:rPr>
                              </w:pPr>
                              <w:r>
                                <w:rPr>
                                  <w:rFonts w:hint="eastAsia" w:ascii="黑体" w:hAnsi="宋体" w:eastAsia="黑体"/>
                                  <w:color w:val="000000"/>
                                  <w:szCs w:val="28"/>
                                </w:rPr>
                                <w:t>事故单位及旗县区</w:t>
                              </w:r>
                              <w:r>
                                <w:rPr>
                                  <w:rFonts w:hint="eastAsia" w:ascii="黑体" w:hAnsi="宋体" w:eastAsia="黑体"/>
                                  <w:szCs w:val="28"/>
                                </w:rPr>
                                <w:t>先期</w:t>
                              </w:r>
                              <w:r>
                                <w:rPr>
                                  <w:rFonts w:hint="eastAsia" w:ascii="黑体" w:hAnsi="宋体" w:eastAsia="黑体"/>
                                  <w:color w:val="000000"/>
                                  <w:kern w:val="0"/>
                                  <w:szCs w:val="28"/>
                                </w:rPr>
                                <w:t>响应</w:t>
                              </w:r>
                            </w:p>
                          </w:txbxContent>
                        </wps:txbx>
                        <wps:bodyPr upright="1"/>
                      </wps:wsp>
                      <wps:wsp>
                        <wps:cNvPr id="87" name="矩形 87"/>
                        <wps:cNvSpPr/>
                        <wps:spPr>
                          <a:xfrm>
                            <a:off x="7912" y="894124"/>
                            <a:ext cx="3377" cy="125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400" w:lineRule="exact"/>
                                <w:ind w:firstLine="0" w:firstLineChars="0"/>
                                <w:jc w:val="center"/>
                                <w:rPr>
                                  <w:rFonts w:ascii="黑体" w:hAnsi="宋体" w:eastAsia="黑体"/>
                                  <w:color w:val="000000"/>
                                  <w:sz w:val="30"/>
                                  <w:szCs w:val="30"/>
                                </w:rPr>
                              </w:pPr>
                            </w:p>
                            <w:p>
                              <w:pPr>
                                <w:spacing w:line="400" w:lineRule="exact"/>
                                <w:ind w:firstLine="0" w:firstLineChars="0"/>
                                <w:jc w:val="center"/>
                                <w:rPr>
                                  <w:rFonts w:ascii="黑体" w:hAnsi="宋体" w:eastAsia="黑体"/>
                                  <w:color w:val="000000"/>
                                  <w:sz w:val="30"/>
                                  <w:szCs w:val="30"/>
                                </w:rPr>
                              </w:pPr>
                              <w:r>
                                <w:rPr>
                                  <w:rFonts w:hint="eastAsia" w:ascii="黑体" w:hAnsi="宋体" w:eastAsia="黑体"/>
                                  <w:color w:val="000000"/>
                                  <w:sz w:val="30"/>
                                  <w:szCs w:val="30"/>
                                </w:rPr>
                                <w:t>本预案启动响应</w:t>
                              </w:r>
                            </w:p>
                          </w:txbxContent>
                        </wps:txbx>
                        <wps:bodyPr upright="1"/>
                      </wps:wsp>
                      <wps:wsp>
                        <wps:cNvPr id="71" name="矩形 71"/>
                        <wps:cNvSpPr/>
                        <wps:spPr>
                          <a:xfrm>
                            <a:off x="13391" y="894044"/>
                            <a:ext cx="2160" cy="1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spacing w:line="360" w:lineRule="exact"/>
                                <w:ind w:firstLine="0" w:firstLineChars="0"/>
                                <w:jc w:val="both"/>
                                <w:rPr>
                                  <w:rFonts w:ascii="黑体" w:hAnsi="宋体" w:eastAsia="黑体"/>
                                  <w:color w:val="000000"/>
                                  <w:szCs w:val="28"/>
                                </w:rPr>
                              </w:pPr>
                              <w:r>
                                <w:rPr>
                                  <w:rFonts w:hint="eastAsia" w:ascii="黑体" w:hAnsi="宋体" w:eastAsia="黑体"/>
                                  <w:szCs w:val="28"/>
                                </w:rPr>
                                <w:t>现场救援指挥部</w:t>
                              </w:r>
                              <w:r>
                                <w:rPr>
                                  <w:rFonts w:hint="eastAsia" w:ascii="黑体" w:hAnsi="宋体" w:eastAsia="黑体"/>
                                  <w:color w:val="000000"/>
                                  <w:szCs w:val="28"/>
                                </w:rPr>
                                <w:t>指挥协调应急联动</w:t>
                              </w:r>
                            </w:p>
                          </w:txbxContent>
                        </wps:txbx>
                        <wps:bodyPr upright="1"/>
                      </wps:wsp>
                      <wps:wsp>
                        <wps:cNvPr id="67" name="矩形 67"/>
                        <wps:cNvSpPr/>
                        <wps:spPr>
                          <a:xfrm>
                            <a:off x="18071" y="894200"/>
                            <a:ext cx="3960" cy="93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spacing w:line="280" w:lineRule="exact"/>
                                <w:ind w:firstLine="560"/>
                                <w:jc w:val="center"/>
                                <w:rPr>
                                  <w:rFonts w:ascii="黑体" w:hAnsi="宋体" w:eastAsia="黑体"/>
                                  <w:szCs w:val="28"/>
                                </w:rPr>
                              </w:pPr>
                            </w:p>
                            <w:p>
                              <w:pPr>
                                <w:widowControl/>
                                <w:spacing w:line="280" w:lineRule="exact"/>
                                <w:ind w:firstLine="560"/>
                                <w:jc w:val="center"/>
                                <w:rPr>
                                  <w:rFonts w:ascii="黑体" w:hAnsi="宋体" w:eastAsia="黑体"/>
                                  <w:szCs w:val="28"/>
                                </w:rPr>
                              </w:pPr>
                              <w:r>
                                <w:rPr>
                                  <w:rFonts w:hint="eastAsia" w:ascii="黑体" w:hAnsi="宋体" w:eastAsia="黑体"/>
                                  <w:szCs w:val="28"/>
                                </w:rPr>
                                <w:t>应急暂停和终止</w:t>
                              </w:r>
                            </w:p>
                          </w:txbxContent>
                        </wps:txbx>
                        <wps:bodyPr upright="1"/>
                      </wps:wsp>
                      <wps:wsp>
                        <wps:cNvPr id="96" name="矩形 96"/>
                        <wps:cNvSpPr/>
                        <wps:spPr>
                          <a:xfrm>
                            <a:off x="1863" y="896739"/>
                            <a:ext cx="5940" cy="1379"/>
                          </a:xfrm>
                          <a:prstGeom prst="rect">
                            <a:avLst/>
                          </a:prstGeom>
                          <a:solidFill>
                            <a:srgbClr val="FFFFFF"/>
                          </a:solidFill>
                          <a:ln w="22225" cap="flat" cmpd="sng">
                            <a:solidFill>
                              <a:srgbClr val="000000"/>
                            </a:solidFill>
                            <a:prstDash val="dashDot"/>
                            <a:miter/>
                            <a:headEnd type="none" w="med" len="med"/>
                            <a:tailEnd type="none" w="med" len="med"/>
                          </a:ln>
                          <a:effectLst/>
                        </wps:spPr>
                        <wps:txbx>
                          <w:txbxContent>
                            <w:p>
                              <w:pPr>
                                <w:pStyle w:val="2"/>
                                <w:spacing w:line="280" w:lineRule="exact"/>
                                <w:ind w:firstLine="0" w:firstLineChars="0"/>
                                <w:rPr>
                                  <w:rFonts w:ascii="黑体" w:hAnsi="宋体" w:eastAsia="黑体"/>
                                  <w:kern w:val="0"/>
                                  <w:sz w:val="24"/>
                                  <w:szCs w:val="24"/>
                                </w:rPr>
                              </w:pPr>
                              <w:r>
                                <w:rPr>
                                  <w:rFonts w:hint="eastAsia" w:ascii="黑体" w:hAnsi="宋体" w:eastAsia="黑体"/>
                                  <w:kern w:val="0"/>
                                  <w:sz w:val="24"/>
                                  <w:szCs w:val="24"/>
                                </w:rPr>
                                <w:t>启动相应级别预案：</w:t>
                              </w:r>
                            </w:p>
                            <w:p>
                              <w:pPr>
                                <w:pStyle w:val="2"/>
                                <w:spacing w:line="280" w:lineRule="exact"/>
                                <w:ind w:firstLine="0" w:firstLineChars="0"/>
                                <w:rPr>
                                  <w:rFonts w:ascii="黑体" w:hAnsi="宋体" w:eastAsia="黑体"/>
                                  <w:color w:val="000000"/>
                                  <w:sz w:val="30"/>
                                  <w:szCs w:val="30"/>
                                </w:rPr>
                              </w:pPr>
                              <w:r>
                                <w:rPr>
                                  <w:rFonts w:hint="eastAsia" w:ascii="楷体_GB2312" w:eastAsia="楷体_GB2312"/>
                                  <w:kern w:val="0"/>
                                  <w:sz w:val="30"/>
                                  <w:szCs w:val="30"/>
                                </w:rPr>
                                <w:t>事故单位及旗县区负责人赶赴现场，根据本级预案组织处置</w:t>
                              </w:r>
                              <w:r>
                                <w:rPr>
                                  <w:rFonts w:hint="eastAsia"/>
                                  <w:color w:val="000000"/>
                                  <w:sz w:val="30"/>
                                  <w:szCs w:val="30"/>
                                </w:rPr>
                                <w:t>。</w:t>
                              </w:r>
                              <w:r>
                                <w:rPr>
                                  <w:rFonts w:hint="eastAsia" w:ascii="楷体_GB2312" w:eastAsia="楷体_GB2312"/>
                                  <w:kern w:val="0"/>
                                  <w:sz w:val="30"/>
                                  <w:szCs w:val="30"/>
                                </w:rPr>
                                <w:t>向</w:t>
                              </w:r>
                              <w:r>
                                <w:rPr>
                                  <w:rFonts w:hint="eastAsia" w:ascii="楷体_GB2312" w:eastAsia="楷体_GB2312"/>
                                  <w:sz w:val="30"/>
                                  <w:szCs w:val="30"/>
                                </w:rPr>
                                <w:t>市应急管理局</w:t>
                              </w:r>
                              <w:r>
                                <w:rPr>
                                  <w:rFonts w:hint="eastAsia" w:ascii="楷体_GB2312" w:eastAsia="楷体_GB2312"/>
                                  <w:kern w:val="0"/>
                                  <w:sz w:val="30"/>
                                  <w:szCs w:val="30"/>
                                </w:rPr>
                                <w:t>报告事故情况，需要支援的提出请求。</w:t>
                              </w:r>
                            </w:p>
                          </w:txbxContent>
                        </wps:txbx>
                        <wps:bodyPr upright="1"/>
                      </wps:wsp>
                      <wps:wsp>
                        <wps:cNvPr id="100" name="矩形 100"/>
                        <wps:cNvSpPr/>
                        <wps:spPr>
                          <a:xfrm>
                            <a:off x="1827" y="898533"/>
                            <a:ext cx="11032" cy="3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2"/>
                                <w:spacing w:line="300" w:lineRule="exact"/>
                                <w:ind w:firstLine="0" w:firstLineChars="0"/>
                                <w:rPr>
                                  <w:rFonts w:ascii="黑体" w:hAnsi="宋体" w:eastAsia="黑体"/>
                                  <w:sz w:val="24"/>
                                  <w:szCs w:val="24"/>
                                </w:rPr>
                              </w:pPr>
                              <w:r>
                                <w:rPr>
                                  <w:rFonts w:hint="eastAsia" w:ascii="黑体" w:hAnsi="宋体" w:eastAsia="黑体"/>
                                  <w:kern w:val="0"/>
                                  <w:sz w:val="24"/>
                                  <w:szCs w:val="24"/>
                                </w:rPr>
                                <w:t>启动本预案，</w:t>
                              </w:r>
                              <w:r>
                                <w:rPr>
                                  <w:rFonts w:hint="eastAsia" w:ascii="黑体" w:eastAsia="黑体"/>
                                  <w:sz w:val="24"/>
                                  <w:szCs w:val="24"/>
                                </w:rPr>
                                <w:t>进入工作状态：</w:t>
                              </w:r>
                            </w:p>
                            <w:p>
                              <w:pPr>
                                <w:pStyle w:val="2"/>
                                <w:spacing w:line="300" w:lineRule="exact"/>
                                <w:ind w:firstLine="0" w:firstLineChars="0"/>
                                <w:rPr>
                                  <w:rFonts w:ascii="楷体_GB2312" w:hAnsi="宋体" w:eastAsia="楷体_GB2312"/>
                                  <w:sz w:val="28"/>
                                  <w:szCs w:val="28"/>
                                </w:rPr>
                              </w:pPr>
                              <w:r>
                                <w:rPr>
                                  <w:rFonts w:hint="eastAsia" w:ascii="楷体_GB2312" w:hAnsi="宋体" w:eastAsia="楷体_GB2312"/>
                                  <w:sz w:val="28"/>
                                  <w:szCs w:val="28"/>
                                </w:rPr>
                                <w:t>1）总指挥指令召集相关成员单位研究处置意见。</w:t>
                              </w:r>
                            </w:p>
                            <w:p>
                              <w:pPr>
                                <w:pStyle w:val="2"/>
                                <w:spacing w:line="300" w:lineRule="exact"/>
                                <w:ind w:firstLine="0" w:firstLineChars="0"/>
                                <w:rPr>
                                  <w:rFonts w:ascii="楷体_GB2312" w:hAnsi="宋体" w:eastAsia="楷体_GB2312"/>
                                  <w:sz w:val="28"/>
                                  <w:szCs w:val="28"/>
                                </w:rPr>
                              </w:pPr>
                              <w:r>
                                <w:rPr>
                                  <w:rFonts w:hint="eastAsia" w:ascii="楷体_GB2312" w:hAnsi="宋体" w:eastAsia="楷体_GB2312"/>
                                  <w:sz w:val="28"/>
                                  <w:szCs w:val="28"/>
                                </w:rPr>
                                <w:t>2）应急指挥部成员单位按照职责分工，收集整理事故情况和应急处置所需信息，供指挥部研究决策。</w:t>
                              </w:r>
                            </w:p>
                            <w:p>
                              <w:pPr>
                                <w:pStyle w:val="2"/>
                                <w:spacing w:line="300" w:lineRule="exact"/>
                                <w:ind w:firstLine="0" w:firstLineChars="0"/>
                                <w:rPr>
                                  <w:rFonts w:ascii="楷体_GB2312" w:eastAsia="楷体_GB2312"/>
                                  <w:sz w:val="28"/>
                                  <w:szCs w:val="28"/>
                                </w:rPr>
                              </w:pPr>
                              <w:r>
                                <w:rPr>
                                  <w:rFonts w:hint="eastAsia" w:ascii="楷体_GB2312" w:hAnsi="宋体" w:eastAsia="楷体_GB2312"/>
                                  <w:sz w:val="28"/>
                                  <w:szCs w:val="28"/>
                                </w:rPr>
                                <w:t>3）指挥部研究救援方案，调集专家、专业救援队伍和救援装备，负责人率现场工作组赴现场指导协调；对事发地提出应急处置指导意见和要求，协调有关部门(相邻地区)配合支援；向市委、政府和自治区应急厅报告，必要时，请求给予支持；</w:t>
                              </w:r>
                              <w:r>
                                <w:rPr>
                                  <w:rFonts w:hint="eastAsia" w:ascii="楷体_GB2312" w:hAnsi="宋体" w:eastAsia="楷体_GB2312"/>
                                  <w:spacing w:val="-2"/>
                                  <w:sz w:val="28"/>
                                  <w:szCs w:val="28"/>
                                </w:rPr>
                                <w:t>进一步采取处置措施。</w:t>
                              </w:r>
                            </w:p>
                            <w:p>
                              <w:pPr>
                                <w:pStyle w:val="2"/>
                                <w:spacing w:line="300" w:lineRule="exact"/>
                                <w:ind w:firstLine="0" w:firstLineChars="0"/>
                                <w:rPr>
                                  <w:rFonts w:ascii="楷体_GB2312" w:hAnsi="宋体" w:eastAsia="楷体_GB2312"/>
                                  <w:sz w:val="28"/>
                                  <w:szCs w:val="28"/>
                                </w:rPr>
                              </w:pPr>
                              <w:r>
                                <w:rPr>
                                  <w:rFonts w:hint="eastAsia" w:ascii="楷体_GB2312" w:eastAsia="楷体_GB2312"/>
                                  <w:sz w:val="28"/>
                                  <w:szCs w:val="28"/>
                                </w:rPr>
                                <w:t>4）各</w:t>
                              </w:r>
                              <w:r>
                                <w:rPr>
                                  <w:rFonts w:hint="eastAsia" w:ascii="楷体_GB2312" w:hAnsi="宋体" w:eastAsia="楷体_GB2312"/>
                                  <w:sz w:val="28"/>
                                  <w:szCs w:val="28"/>
                                </w:rPr>
                                <w:t>应急救援队伍</w:t>
                              </w:r>
                              <w:r>
                                <w:rPr>
                                  <w:rFonts w:hint="eastAsia" w:ascii="楷体_GB2312" w:eastAsia="楷体_GB2312"/>
                                  <w:sz w:val="28"/>
                                  <w:szCs w:val="28"/>
                                </w:rPr>
                                <w:t>履行各自职责。</w:t>
                              </w:r>
                            </w:p>
                          </w:txbxContent>
                        </wps:txbx>
                        <wps:bodyPr upright="1"/>
                      </wps:wsp>
                      <wps:wsp>
                        <wps:cNvPr id="99" name="矩形 99"/>
                        <wps:cNvSpPr/>
                        <wps:spPr>
                          <a:xfrm>
                            <a:off x="13623" y="898476"/>
                            <a:ext cx="2452" cy="3121"/>
                          </a:xfrm>
                          <a:prstGeom prst="rect">
                            <a:avLst/>
                          </a:prstGeom>
                          <a:solidFill>
                            <a:srgbClr val="FFFFFF"/>
                          </a:solidFill>
                          <a:ln w="22225" cap="flat" cmpd="sng">
                            <a:solidFill>
                              <a:srgbClr val="000000"/>
                            </a:solidFill>
                            <a:prstDash val="dashDot"/>
                            <a:miter/>
                            <a:headEnd type="none" w="med" len="med"/>
                            <a:tailEnd type="none" w="med" len="med"/>
                          </a:ln>
                          <a:effectLst/>
                        </wps:spPr>
                        <wps:txbx>
                          <w:txbxContent>
                            <w:p>
                              <w:pPr>
                                <w:widowControl/>
                                <w:spacing w:line="180" w:lineRule="exact"/>
                                <w:ind w:firstLine="560"/>
                                <w:jc w:val="center"/>
                                <w:rPr>
                                  <w:rFonts w:ascii="黑体" w:hAnsi="宋体" w:eastAsia="黑体"/>
                                  <w:szCs w:val="28"/>
                                </w:rPr>
                              </w:pPr>
                            </w:p>
                            <w:p>
                              <w:pPr>
                                <w:widowControl/>
                                <w:spacing w:line="280" w:lineRule="exact"/>
                                <w:ind w:firstLine="0" w:firstLineChars="0"/>
                                <w:jc w:val="both"/>
                                <w:rPr>
                                  <w:rFonts w:ascii="黑体" w:hAnsi="宋体" w:eastAsia="黑体"/>
                                  <w:sz w:val="18"/>
                                  <w:szCs w:val="18"/>
                                </w:rPr>
                              </w:pPr>
                              <w:r>
                                <w:rPr>
                                  <w:rFonts w:hint="eastAsia" w:ascii="黑体" w:hAnsi="宋体" w:eastAsia="黑体"/>
                                  <w:szCs w:val="28"/>
                                </w:rPr>
                                <w:t>由事发地部门组织成立现场救援指挥部，市生产安全事故应急指挥中心相应行业事故总指挥任指挥长。</w:t>
                              </w:r>
                            </w:p>
                            <w:p>
                              <w:pPr>
                                <w:pStyle w:val="2"/>
                                <w:spacing w:line="280" w:lineRule="exact"/>
                                <w:ind w:firstLine="0" w:firstLineChars="0"/>
                                <w:rPr>
                                  <w:rFonts w:ascii="黑体" w:hAnsi="宋体" w:eastAsia="黑体"/>
                                  <w:sz w:val="30"/>
                                  <w:szCs w:val="30"/>
                                </w:rPr>
                              </w:pPr>
                            </w:p>
                          </w:txbxContent>
                        </wps:txbx>
                        <wps:bodyPr upright="1"/>
                      </wps:wsp>
                      <wps:wsp>
                        <wps:cNvPr id="98" name="矩形 98"/>
                        <wps:cNvSpPr/>
                        <wps:spPr>
                          <a:xfrm>
                            <a:off x="16991" y="898476"/>
                            <a:ext cx="2700" cy="3229"/>
                          </a:xfrm>
                          <a:prstGeom prst="rect">
                            <a:avLst/>
                          </a:prstGeom>
                          <a:solidFill>
                            <a:srgbClr val="FFFFFF"/>
                          </a:solidFill>
                          <a:ln w="22225" cap="flat" cmpd="sng">
                            <a:solidFill>
                              <a:srgbClr val="000000"/>
                            </a:solidFill>
                            <a:prstDash val="dashDot"/>
                            <a:miter/>
                            <a:headEnd type="none" w="med" len="med"/>
                            <a:tailEnd type="none" w="med" len="med"/>
                          </a:ln>
                          <a:effectLst/>
                        </wps:spPr>
                        <wps:txbx>
                          <w:txbxContent>
                            <w:p>
                              <w:pPr>
                                <w:spacing w:line="280" w:lineRule="exact"/>
                                <w:ind w:firstLine="0" w:firstLineChars="0"/>
                                <w:jc w:val="both"/>
                                <w:rPr>
                                  <w:rFonts w:ascii="楷体_GB2312" w:eastAsia="楷体_GB2312"/>
                                  <w:szCs w:val="28"/>
                                </w:rPr>
                              </w:pPr>
                              <w:r>
                                <w:rPr>
                                  <w:rFonts w:hint="eastAsia" w:ascii="楷体_GB2312" w:eastAsia="楷体_GB2312" w:cs="仿宋_GB2312"/>
                                  <w:szCs w:val="28"/>
                                </w:rPr>
                                <w:t>现场救援指挥部在救援中发现可能直接威胁救援人员生命安全或者造成次生灾害等情况时，可以决定暂停救援，并采取措施消除隐患，化解风险。在隐患已经消除，应当继续组织救援。</w:t>
                              </w:r>
                            </w:p>
                            <w:p>
                              <w:pPr>
                                <w:ind w:firstLine="560"/>
                                <w:rPr>
                                  <w:szCs w:val="30"/>
                                </w:rPr>
                              </w:pPr>
                            </w:p>
                          </w:txbxContent>
                        </wps:txbx>
                        <wps:bodyPr upright="1"/>
                      </wps:wsp>
                      <wps:wsp>
                        <wps:cNvPr id="93" name="直接连接符 93"/>
                        <wps:cNvCnPr/>
                        <wps:spPr>
                          <a:xfrm flipH="1">
                            <a:off x="5288" y="895448"/>
                            <a:ext cx="3" cy="1297"/>
                          </a:xfrm>
                          <a:prstGeom prst="line">
                            <a:avLst/>
                          </a:prstGeom>
                          <a:ln w="9525" cap="flat" cmpd="sng">
                            <a:solidFill>
                              <a:srgbClr val="000000"/>
                            </a:solidFill>
                            <a:prstDash val="solid"/>
                            <a:headEnd type="none" w="med" len="med"/>
                            <a:tailEnd type="triangle" w="med" len="med"/>
                          </a:ln>
                          <a:effectLst/>
                        </wps:spPr>
                        <wps:bodyPr upright="1"/>
                      </wps:wsp>
                      <wps:wsp>
                        <wps:cNvPr id="90" name="直接连接符 90"/>
                        <wps:cNvCnPr/>
                        <wps:spPr>
                          <a:xfrm flipH="1">
                            <a:off x="9601" y="895433"/>
                            <a:ext cx="37" cy="2962"/>
                          </a:xfrm>
                          <a:prstGeom prst="line">
                            <a:avLst/>
                          </a:prstGeom>
                          <a:ln w="9525" cap="flat" cmpd="sng">
                            <a:solidFill>
                              <a:srgbClr val="000000"/>
                            </a:solidFill>
                            <a:prstDash val="solid"/>
                            <a:headEnd type="none" w="med" len="med"/>
                            <a:tailEnd type="triangle" w="med" len="med"/>
                          </a:ln>
                          <a:effectLst/>
                        </wps:spPr>
                        <wps:bodyPr upright="1"/>
                      </wps:wsp>
                      <wps:wsp>
                        <wps:cNvPr id="92" name="直接连接符 92"/>
                        <wps:cNvCnPr/>
                        <wps:spPr>
                          <a:xfrm>
                            <a:off x="14572" y="895472"/>
                            <a:ext cx="0" cy="2872"/>
                          </a:xfrm>
                          <a:prstGeom prst="line">
                            <a:avLst/>
                          </a:prstGeom>
                          <a:ln w="9525" cap="flat" cmpd="sng">
                            <a:solidFill>
                              <a:srgbClr val="000000"/>
                            </a:solidFill>
                            <a:prstDash val="solid"/>
                            <a:headEnd type="none" w="med" len="med"/>
                            <a:tailEnd type="triangle" w="med" len="med"/>
                          </a:ln>
                          <a:effectLst/>
                        </wps:spPr>
                        <wps:bodyPr upright="1"/>
                      </wps:wsp>
                      <wps:wsp>
                        <wps:cNvPr id="89" name="直接连接符 89"/>
                        <wps:cNvCnPr/>
                        <wps:spPr>
                          <a:xfrm>
                            <a:off x="18431" y="895132"/>
                            <a:ext cx="0" cy="3344"/>
                          </a:xfrm>
                          <a:prstGeom prst="line">
                            <a:avLst/>
                          </a:prstGeom>
                          <a:ln w="9525" cap="flat" cmpd="sng">
                            <a:solidFill>
                              <a:srgbClr val="000000"/>
                            </a:solidFill>
                            <a:prstDash val="solid"/>
                            <a:headEnd type="none" w="med" len="med"/>
                            <a:tailEnd type="triangle" w="med" len="med"/>
                          </a:ln>
                          <a:effectLst/>
                        </wps:spPr>
                        <wps:bodyPr upright="1"/>
                      </wps:wsp>
                      <wps:wsp>
                        <wps:cNvPr id="65" name="直接连接符 65"/>
                        <wps:cNvCnPr/>
                        <wps:spPr>
                          <a:xfrm>
                            <a:off x="3671" y="894740"/>
                            <a:ext cx="720" cy="0"/>
                          </a:xfrm>
                          <a:prstGeom prst="line">
                            <a:avLst/>
                          </a:prstGeom>
                          <a:ln w="9525" cap="flat" cmpd="sng">
                            <a:solidFill>
                              <a:srgbClr val="000000"/>
                            </a:solidFill>
                            <a:prstDash val="solid"/>
                            <a:headEnd type="none" w="med" len="med"/>
                            <a:tailEnd type="triangle" w="med" len="med"/>
                          </a:ln>
                          <a:effectLst/>
                        </wps:spPr>
                        <wps:bodyPr upright="1"/>
                      </wps:wsp>
                      <wps:wsp>
                        <wps:cNvPr id="72" name="直接连接符 72"/>
                        <wps:cNvCnPr/>
                        <wps:spPr>
                          <a:xfrm flipV="1">
                            <a:off x="6191" y="894739"/>
                            <a:ext cx="1628" cy="1"/>
                          </a:xfrm>
                          <a:prstGeom prst="line">
                            <a:avLst/>
                          </a:prstGeom>
                          <a:ln w="9525" cap="flat" cmpd="sng">
                            <a:solidFill>
                              <a:srgbClr val="000000"/>
                            </a:solidFill>
                            <a:prstDash val="solid"/>
                            <a:headEnd type="none" w="med" len="med"/>
                            <a:tailEnd type="triangle" w="med" len="med"/>
                          </a:ln>
                          <a:effectLst/>
                        </wps:spPr>
                        <wps:bodyPr upright="1"/>
                      </wps:wsp>
                      <wps:wsp>
                        <wps:cNvPr id="69" name="直接连接符 69"/>
                        <wps:cNvCnPr>
                          <a:stCxn id="87" idx="3"/>
                        </wps:cNvCnPr>
                        <wps:spPr>
                          <a:xfrm flipV="1">
                            <a:off x="11289" y="894740"/>
                            <a:ext cx="2102" cy="11"/>
                          </a:xfrm>
                          <a:prstGeom prst="line">
                            <a:avLst/>
                          </a:prstGeom>
                          <a:ln w="9525" cap="flat" cmpd="sng">
                            <a:solidFill>
                              <a:srgbClr val="000000"/>
                            </a:solidFill>
                            <a:prstDash val="solid"/>
                            <a:headEnd type="none" w="med" len="med"/>
                            <a:tailEnd type="triangle" w="med" len="med"/>
                          </a:ln>
                          <a:effectLst/>
                        </wps:spPr>
                        <wps:bodyPr upright="1"/>
                      </wps:wsp>
                      <wps:wsp>
                        <wps:cNvPr id="91" name="直接连接符 91"/>
                        <wps:cNvCnPr/>
                        <wps:spPr>
                          <a:xfrm flipV="1">
                            <a:off x="15551" y="894900"/>
                            <a:ext cx="2520" cy="0"/>
                          </a:xfrm>
                          <a:prstGeom prst="line">
                            <a:avLst/>
                          </a:prstGeom>
                          <a:ln w="9525" cap="flat" cmpd="sng">
                            <a:solidFill>
                              <a:srgbClr val="000000"/>
                            </a:solidFill>
                            <a:prstDash val="solid"/>
                            <a:headEnd type="none" w="med" len="med"/>
                            <a:tailEnd type="triangle" w="med" len="med"/>
                          </a:ln>
                          <a:effectLst/>
                        </wps:spPr>
                        <wps:bodyPr upright="1"/>
                      </wps:wsp>
                      <wps:wsp>
                        <wps:cNvPr id="97" name="矩形 97"/>
                        <wps:cNvSpPr/>
                        <wps:spPr>
                          <a:xfrm>
                            <a:off x="20051" y="898476"/>
                            <a:ext cx="2700" cy="3146"/>
                          </a:xfrm>
                          <a:prstGeom prst="rect">
                            <a:avLst/>
                          </a:prstGeom>
                          <a:solidFill>
                            <a:srgbClr val="FFFFFF"/>
                          </a:solidFill>
                          <a:ln w="22225" cap="flat" cmpd="sng">
                            <a:solidFill>
                              <a:srgbClr val="000000"/>
                            </a:solidFill>
                            <a:prstDash val="dashDot"/>
                            <a:miter/>
                            <a:headEnd type="none" w="med" len="med"/>
                            <a:tailEnd type="none" w="med" len="med"/>
                          </a:ln>
                          <a:effectLst/>
                        </wps:spPr>
                        <wps:txbx>
                          <w:txbxContent>
                            <w:p>
                              <w:pPr>
                                <w:spacing w:line="320" w:lineRule="exact"/>
                                <w:ind w:firstLine="0" w:firstLineChars="0"/>
                                <w:jc w:val="both"/>
                                <w:rPr>
                                  <w:rFonts w:ascii="楷体_GB2312" w:eastAsia="楷体_GB2312" w:cs="仿宋_GB2312"/>
                                  <w:szCs w:val="28"/>
                                </w:rPr>
                              </w:pPr>
                              <w:r>
                                <w:rPr>
                                  <w:rFonts w:hint="eastAsia" w:ascii="楷体_GB2312" w:eastAsia="楷体_GB2312" w:cs="仿宋_GB2312"/>
                                  <w:szCs w:val="28"/>
                                </w:rPr>
                                <w:t>事故威胁和危害得到控制、消除后，或者暂停救援不具备恢复应急救援条件并经科学论证后，现场救援指挥部经报请本级政府批准宣布终止应急救援。</w:t>
                              </w:r>
                            </w:p>
                          </w:txbxContent>
                        </wps:txbx>
                        <wps:bodyPr upright="1"/>
                      </wps:wsp>
                      <wps:wsp>
                        <wps:cNvPr id="88" name="直接连接符 88"/>
                        <wps:cNvCnPr/>
                        <wps:spPr>
                          <a:xfrm>
                            <a:off x="21311" y="895132"/>
                            <a:ext cx="0" cy="3344"/>
                          </a:xfrm>
                          <a:prstGeom prst="line">
                            <a:avLst/>
                          </a:prstGeom>
                          <a:ln w="9525" cap="flat" cmpd="sng">
                            <a:solidFill>
                              <a:srgbClr val="000000"/>
                            </a:solidFill>
                            <a:prstDash val="solid"/>
                            <a:headEnd type="none" w="med" len="med"/>
                            <a:tailEnd type="triangle" w="med" len="med"/>
                          </a:ln>
                          <a:effectLst/>
                        </wps:spPr>
                        <wps:bodyPr upright="1"/>
                      </wps:wsp>
                      <wps:wsp>
                        <wps:cNvPr id="95" name="矩形 95"/>
                        <wps:cNvSpPr/>
                        <wps:spPr>
                          <a:xfrm>
                            <a:off x="18431" y="896532"/>
                            <a:ext cx="900" cy="468"/>
                          </a:xfrm>
                          <a:prstGeom prst="rect">
                            <a:avLst/>
                          </a:prstGeom>
                          <a:solidFill>
                            <a:srgbClr val="FFFFFF"/>
                          </a:solidFill>
                          <a:ln w="22225" cap="flat" cmpd="sng">
                            <a:solidFill>
                              <a:srgbClr val="000000"/>
                            </a:solidFill>
                            <a:prstDash val="dashDot"/>
                            <a:miter/>
                            <a:headEnd type="none" w="med" len="med"/>
                            <a:tailEnd type="none" w="med" len="med"/>
                          </a:ln>
                          <a:effectLst/>
                        </wps:spPr>
                        <wps:txbx>
                          <w:txbxContent>
                            <w:p>
                              <w:pPr>
                                <w:pStyle w:val="2"/>
                                <w:spacing w:line="280" w:lineRule="exact"/>
                                <w:ind w:firstLine="0" w:firstLineChars="0"/>
                                <w:rPr>
                                  <w:rFonts w:ascii="黑体" w:hAnsi="宋体" w:eastAsia="黑体"/>
                                  <w:color w:val="000000"/>
                                  <w:sz w:val="30"/>
                                  <w:szCs w:val="30"/>
                                </w:rPr>
                              </w:pPr>
                              <w:r>
                                <w:rPr>
                                  <w:rFonts w:hint="eastAsia" w:ascii="楷体_GB2312" w:hAnsi="宋体" w:eastAsia="楷体_GB2312"/>
                                  <w:sz w:val="28"/>
                                  <w:szCs w:val="28"/>
                                </w:rPr>
                                <w:t>暂停</w:t>
                              </w:r>
                            </w:p>
                          </w:txbxContent>
                        </wps:txbx>
                        <wps:bodyPr upright="1"/>
                      </wps:wsp>
                      <wps:wsp>
                        <wps:cNvPr id="94" name="矩形 94"/>
                        <wps:cNvSpPr/>
                        <wps:spPr>
                          <a:xfrm>
                            <a:off x="21311" y="896532"/>
                            <a:ext cx="900" cy="468"/>
                          </a:xfrm>
                          <a:prstGeom prst="rect">
                            <a:avLst/>
                          </a:prstGeom>
                          <a:solidFill>
                            <a:srgbClr val="FFFFFF"/>
                          </a:solidFill>
                          <a:ln w="22225" cap="flat" cmpd="sng">
                            <a:solidFill>
                              <a:srgbClr val="000000"/>
                            </a:solidFill>
                            <a:prstDash val="dashDot"/>
                            <a:miter/>
                            <a:headEnd type="none" w="med" len="med"/>
                            <a:tailEnd type="none" w="med" len="med"/>
                          </a:ln>
                          <a:effectLst/>
                        </wps:spPr>
                        <wps:txbx>
                          <w:txbxContent>
                            <w:p>
                              <w:pPr>
                                <w:pStyle w:val="2"/>
                                <w:spacing w:line="280" w:lineRule="exact"/>
                                <w:ind w:firstLine="0" w:firstLineChars="0"/>
                                <w:rPr>
                                  <w:rFonts w:ascii="黑体" w:hAnsi="宋体" w:eastAsia="黑体"/>
                                  <w:color w:val="000000"/>
                                  <w:sz w:val="30"/>
                                  <w:szCs w:val="30"/>
                                </w:rPr>
                              </w:pPr>
                              <w:r>
                                <w:rPr>
                                  <w:rFonts w:hint="eastAsia" w:ascii="楷体_GB2312" w:hAnsi="宋体" w:eastAsia="楷体_GB2312"/>
                                  <w:sz w:val="28"/>
                                  <w:szCs w:val="28"/>
                                </w:rPr>
                                <w:t>终止</w:t>
                              </w:r>
                            </w:p>
                          </w:txbxContent>
                        </wps:txbx>
                        <wps:bodyPr upright="1"/>
                      </wps:wsp>
                    </wpg:wgp>
                  </a:graphicData>
                </a:graphic>
              </wp:anchor>
            </w:drawing>
          </mc:Choice>
          <mc:Fallback>
            <w:pict>
              <v:group id="_x0000_s1026" o:spid="_x0000_s1026" o:spt="203" style="position:absolute;left:0pt;margin-left:0.65pt;margin-top:11.6pt;height:383pt;width:1046.2pt;z-index:251670528;mso-width-relative:page;mso-height-relative:page;" coordorigin="1827,894044" coordsize="20924,7660" o:gfxdata="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">
                <o:lock v:ext="edit" aspectratio="f"/>
                <v:rect id="_x0000_s1026" o:spid="_x0000_s1026" o:spt="1" style="position:absolute;left:1871;top:894044;height:1365;width:1800;" fillcolor="#FFFFFF" filled="t" stroked="t" coordsize="21600,21600" o:gfxdata="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M7b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40" w:lineRule="exact"/>
                          <w:ind w:firstLine="0" w:firstLineChars="0"/>
                        </w:pPr>
                        <w:r>
                          <w:rPr>
                            <w:rFonts w:hint="eastAsia" w:ascii="黑体" w:hAnsi="宋体" w:eastAsia="黑体"/>
                            <w:color w:val="000000"/>
                            <w:szCs w:val="28"/>
                          </w:rPr>
                          <w:t>发生本预案适用范围的事故</w:t>
                        </w:r>
                      </w:p>
                    </w:txbxContent>
                  </v:textbox>
                </v:rect>
                <v:rect id="_x0000_s1026" o:spid="_x0000_s1026" o:spt="1" style="position:absolute;left:4391;top:894044;height:1404;width:1800;" fillcolor="#FFFFFF" filled="t" stroked="t" coordsize="21600,21600" o:gfxdata="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xh6r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spacing w:line="400" w:lineRule="exact"/>
                          <w:ind w:firstLine="0" w:firstLineChars="0"/>
                          <w:rPr>
                            <w:rFonts w:ascii="黑体" w:hAnsi="宋体" w:eastAsia="黑体"/>
                            <w:szCs w:val="28"/>
                          </w:rPr>
                        </w:pPr>
                        <w:r>
                          <w:rPr>
                            <w:rFonts w:hint="eastAsia" w:ascii="黑体" w:hAnsi="宋体" w:eastAsia="黑体"/>
                            <w:color w:val="000000"/>
                            <w:szCs w:val="28"/>
                          </w:rPr>
                          <w:t>事故单位及旗县区</w:t>
                        </w:r>
                        <w:r>
                          <w:rPr>
                            <w:rFonts w:hint="eastAsia" w:ascii="黑体" w:hAnsi="宋体" w:eastAsia="黑体"/>
                            <w:szCs w:val="28"/>
                          </w:rPr>
                          <w:t>先期</w:t>
                        </w:r>
                        <w:r>
                          <w:rPr>
                            <w:rFonts w:hint="eastAsia" w:ascii="黑体" w:hAnsi="宋体" w:eastAsia="黑体"/>
                            <w:color w:val="000000"/>
                            <w:kern w:val="0"/>
                            <w:szCs w:val="28"/>
                          </w:rPr>
                          <w:t>响应</w:t>
                        </w:r>
                      </w:p>
                    </w:txbxContent>
                  </v:textbox>
                </v:rect>
                <v:rect id="_x0000_s1026" o:spid="_x0000_s1026" o:spt="1" style="position:absolute;left:7912;top:894124;height:1253;width:3377;" fillcolor="#FFFFFF" filled="t" stroked="t" coordsize="21600,21600" o:gfxdata="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8TY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400" w:lineRule="exact"/>
                          <w:ind w:firstLine="0" w:firstLineChars="0"/>
                          <w:jc w:val="center"/>
                          <w:rPr>
                            <w:rFonts w:ascii="黑体" w:hAnsi="宋体" w:eastAsia="黑体"/>
                            <w:color w:val="000000"/>
                            <w:sz w:val="30"/>
                            <w:szCs w:val="30"/>
                          </w:rPr>
                        </w:pPr>
                      </w:p>
                      <w:p>
                        <w:pPr>
                          <w:spacing w:line="400" w:lineRule="exact"/>
                          <w:ind w:firstLine="0" w:firstLineChars="0"/>
                          <w:jc w:val="center"/>
                          <w:rPr>
                            <w:rFonts w:ascii="黑体" w:hAnsi="宋体" w:eastAsia="黑体"/>
                            <w:color w:val="000000"/>
                            <w:sz w:val="30"/>
                            <w:szCs w:val="30"/>
                          </w:rPr>
                        </w:pPr>
                        <w:r>
                          <w:rPr>
                            <w:rFonts w:hint="eastAsia" w:ascii="黑体" w:hAnsi="宋体" w:eastAsia="黑体"/>
                            <w:color w:val="000000"/>
                            <w:sz w:val="30"/>
                            <w:szCs w:val="30"/>
                          </w:rPr>
                          <w:t>本预案启动响应</w:t>
                        </w:r>
                      </w:p>
                    </w:txbxContent>
                  </v:textbox>
                </v:rect>
                <v:rect id="_x0000_s1026" o:spid="_x0000_s1026" o:spt="1" style="position:absolute;left:13391;top:894044;height:1410;width:2160;" fillcolor="#FFFFFF" filled="t" stroked="t" coordsize="21600,21600" o:gfxdata="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D16q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widowControl/>
                          <w:spacing w:line="360" w:lineRule="exact"/>
                          <w:ind w:firstLine="0" w:firstLineChars="0"/>
                          <w:jc w:val="both"/>
                          <w:rPr>
                            <w:rFonts w:ascii="黑体" w:hAnsi="宋体" w:eastAsia="黑体"/>
                            <w:color w:val="000000"/>
                            <w:szCs w:val="28"/>
                          </w:rPr>
                        </w:pPr>
                        <w:r>
                          <w:rPr>
                            <w:rFonts w:hint="eastAsia" w:ascii="黑体" w:hAnsi="宋体" w:eastAsia="黑体"/>
                            <w:szCs w:val="28"/>
                          </w:rPr>
                          <w:t>现场救援指挥部</w:t>
                        </w:r>
                        <w:r>
                          <w:rPr>
                            <w:rFonts w:hint="eastAsia" w:ascii="黑体" w:hAnsi="宋体" w:eastAsia="黑体"/>
                            <w:color w:val="000000"/>
                            <w:szCs w:val="28"/>
                          </w:rPr>
                          <w:t>指挥协调应急联动</w:t>
                        </w:r>
                      </w:p>
                    </w:txbxContent>
                  </v:textbox>
                </v:rect>
                <v:rect id="_x0000_s1026" o:spid="_x0000_s1026" o:spt="1" style="position:absolute;left:18071;top:894200;height:936;width:3960;" fillcolor="#FFFFFF" filled="t" stroked="t" coordsize="21600,21600" o:gfxdata="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P1m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widowControl/>
                          <w:spacing w:line="280" w:lineRule="exact"/>
                          <w:ind w:firstLine="560"/>
                          <w:jc w:val="center"/>
                          <w:rPr>
                            <w:rFonts w:ascii="黑体" w:hAnsi="宋体" w:eastAsia="黑体"/>
                            <w:szCs w:val="28"/>
                          </w:rPr>
                        </w:pPr>
                      </w:p>
                      <w:p>
                        <w:pPr>
                          <w:widowControl/>
                          <w:spacing w:line="280" w:lineRule="exact"/>
                          <w:ind w:firstLine="560"/>
                          <w:jc w:val="center"/>
                          <w:rPr>
                            <w:rFonts w:ascii="黑体" w:hAnsi="宋体" w:eastAsia="黑体"/>
                            <w:szCs w:val="28"/>
                          </w:rPr>
                        </w:pPr>
                        <w:r>
                          <w:rPr>
                            <w:rFonts w:hint="eastAsia" w:ascii="黑体" w:hAnsi="宋体" w:eastAsia="黑体"/>
                            <w:szCs w:val="28"/>
                          </w:rPr>
                          <w:t>应急暂停和终止</w:t>
                        </w:r>
                      </w:p>
                    </w:txbxContent>
                  </v:textbox>
                </v:rect>
                <v:rect id="_x0000_s1026" o:spid="_x0000_s1026" o:spt="1" style="position:absolute;left:1863;top:896739;height:1379;width:5940;" fillcolor="#FFFFFF" filled="t" stroked="t" coordsize="21600,21600" o:gfxdata="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FAvivQAA&#10;ANsAAAAPAAAAAAAAAAEAIAAAACIAAABkcnMvZG93bnJldi54bWxQSwECFAAUAAAACACHTuJAMy8F&#10;njsAAAA5AAAAEAAAAAAAAAABACAAAAAMAQAAZHJzL3NoYXBleG1sLnhtbFBLBQYAAAAABgAGAFsB&#10;AAC2AwAAAAA=&#10;">
                  <v:fill on="t" focussize="0,0"/>
                  <v:stroke weight="1.75pt" color="#000000" joinstyle="miter" dashstyle="dashDot"/>
                  <v:imagedata o:title=""/>
                  <o:lock v:ext="edit" aspectratio="f"/>
                  <v:textbox>
                    <w:txbxContent>
                      <w:p>
                        <w:pPr>
                          <w:pStyle w:val="2"/>
                          <w:spacing w:line="280" w:lineRule="exact"/>
                          <w:ind w:firstLine="0" w:firstLineChars="0"/>
                          <w:rPr>
                            <w:rFonts w:ascii="黑体" w:hAnsi="宋体" w:eastAsia="黑体"/>
                            <w:kern w:val="0"/>
                            <w:sz w:val="24"/>
                            <w:szCs w:val="24"/>
                          </w:rPr>
                        </w:pPr>
                        <w:r>
                          <w:rPr>
                            <w:rFonts w:hint="eastAsia" w:ascii="黑体" w:hAnsi="宋体" w:eastAsia="黑体"/>
                            <w:kern w:val="0"/>
                            <w:sz w:val="24"/>
                            <w:szCs w:val="24"/>
                          </w:rPr>
                          <w:t>启动相应级别预案：</w:t>
                        </w:r>
                      </w:p>
                      <w:p>
                        <w:pPr>
                          <w:pStyle w:val="2"/>
                          <w:spacing w:line="280" w:lineRule="exact"/>
                          <w:ind w:firstLine="0" w:firstLineChars="0"/>
                          <w:rPr>
                            <w:rFonts w:ascii="黑体" w:hAnsi="宋体" w:eastAsia="黑体"/>
                            <w:color w:val="000000"/>
                            <w:sz w:val="30"/>
                            <w:szCs w:val="30"/>
                          </w:rPr>
                        </w:pPr>
                        <w:r>
                          <w:rPr>
                            <w:rFonts w:hint="eastAsia" w:ascii="楷体_GB2312" w:eastAsia="楷体_GB2312"/>
                            <w:kern w:val="0"/>
                            <w:sz w:val="30"/>
                            <w:szCs w:val="30"/>
                          </w:rPr>
                          <w:t>事故单位及旗县区负责人赶赴现场，根据本级预案组织处置</w:t>
                        </w:r>
                        <w:r>
                          <w:rPr>
                            <w:rFonts w:hint="eastAsia"/>
                            <w:color w:val="000000"/>
                            <w:sz w:val="30"/>
                            <w:szCs w:val="30"/>
                          </w:rPr>
                          <w:t>。</w:t>
                        </w:r>
                        <w:r>
                          <w:rPr>
                            <w:rFonts w:hint="eastAsia" w:ascii="楷体_GB2312" w:eastAsia="楷体_GB2312"/>
                            <w:kern w:val="0"/>
                            <w:sz w:val="30"/>
                            <w:szCs w:val="30"/>
                          </w:rPr>
                          <w:t>向</w:t>
                        </w:r>
                        <w:r>
                          <w:rPr>
                            <w:rFonts w:hint="eastAsia" w:ascii="楷体_GB2312" w:eastAsia="楷体_GB2312"/>
                            <w:sz w:val="30"/>
                            <w:szCs w:val="30"/>
                          </w:rPr>
                          <w:t>市应急管理局</w:t>
                        </w:r>
                        <w:r>
                          <w:rPr>
                            <w:rFonts w:hint="eastAsia" w:ascii="楷体_GB2312" w:eastAsia="楷体_GB2312"/>
                            <w:kern w:val="0"/>
                            <w:sz w:val="30"/>
                            <w:szCs w:val="30"/>
                          </w:rPr>
                          <w:t>报告事故情况，需要支援的提出请求。</w:t>
                        </w:r>
                      </w:p>
                    </w:txbxContent>
                  </v:textbox>
                </v:rect>
                <v:rect id="_x0000_s1026" o:spid="_x0000_s1026" o:spt="1" style="position:absolute;left:1827;top:898533;height:3120;width:11032;" fillcolor="#FFFFFF" filled="t" stroked="t" coordsize="21600,21600" o:gfxdata="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8Xg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2"/>
                          <w:spacing w:line="300" w:lineRule="exact"/>
                          <w:ind w:firstLine="0" w:firstLineChars="0"/>
                          <w:rPr>
                            <w:rFonts w:ascii="黑体" w:hAnsi="宋体" w:eastAsia="黑体"/>
                            <w:sz w:val="24"/>
                            <w:szCs w:val="24"/>
                          </w:rPr>
                        </w:pPr>
                        <w:r>
                          <w:rPr>
                            <w:rFonts w:hint="eastAsia" w:ascii="黑体" w:hAnsi="宋体" w:eastAsia="黑体"/>
                            <w:kern w:val="0"/>
                            <w:sz w:val="24"/>
                            <w:szCs w:val="24"/>
                          </w:rPr>
                          <w:t>启动本预案，</w:t>
                        </w:r>
                        <w:r>
                          <w:rPr>
                            <w:rFonts w:hint="eastAsia" w:ascii="黑体" w:eastAsia="黑体"/>
                            <w:sz w:val="24"/>
                            <w:szCs w:val="24"/>
                          </w:rPr>
                          <w:t>进入工作状态：</w:t>
                        </w:r>
                      </w:p>
                      <w:p>
                        <w:pPr>
                          <w:pStyle w:val="2"/>
                          <w:spacing w:line="300" w:lineRule="exact"/>
                          <w:ind w:firstLine="0" w:firstLineChars="0"/>
                          <w:rPr>
                            <w:rFonts w:ascii="楷体_GB2312" w:hAnsi="宋体" w:eastAsia="楷体_GB2312"/>
                            <w:sz w:val="28"/>
                            <w:szCs w:val="28"/>
                          </w:rPr>
                        </w:pPr>
                        <w:r>
                          <w:rPr>
                            <w:rFonts w:hint="eastAsia" w:ascii="楷体_GB2312" w:hAnsi="宋体" w:eastAsia="楷体_GB2312"/>
                            <w:sz w:val="28"/>
                            <w:szCs w:val="28"/>
                          </w:rPr>
                          <w:t>1）总指挥指令召集相关成员单位研究处置意见。</w:t>
                        </w:r>
                      </w:p>
                      <w:p>
                        <w:pPr>
                          <w:pStyle w:val="2"/>
                          <w:spacing w:line="300" w:lineRule="exact"/>
                          <w:ind w:firstLine="0" w:firstLineChars="0"/>
                          <w:rPr>
                            <w:rFonts w:ascii="楷体_GB2312" w:hAnsi="宋体" w:eastAsia="楷体_GB2312"/>
                            <w:sz w:val="28"/>
                            <w:szCs w:val="28"/>
                          </w:rPr>
                        </w:pPr>
                        <w:r>
                          <w:rPr>
                            <w:rFonts w:hint="eastAsia" w:ascii="楷体_GB2312" w:hAnsi="宋体" w:eastAsia="楷体_GB2312"/>
                            <w:sz w:val="28"/>
                            <w:szCs w:val="28"/>
                          </w:rPr>
                          <w:t>2）应急指挥部成员单位按照职责分工，收集整理事故情况和应急处置所需信息，供指挥部研究决策。</w:t>
                        </w:r>
                      </w:p>
                      <w:p>
                        <w:pPr>
                          <w:pStyle w:val="2"/>
                          <w:spacing w:line="300" w:lineRule="exact"/>
                          <w:ind w:firstLine="0" w:firstLineChars="0"/>
                          <w:rPr>
                            <w:rFonts w:ascii="楷体_GB2312" w:eastAsia="楷体_GB2312"/>
                            <w:sz w:val="28"/>
                            <w:szCs w:val="28"/>
                          </w:rPr>
                        </w:pPr>
                        <w:r>
                          <w:rPr>
                            <w:rFonts w:hint="eastAsia" w:ascii="楷体_GB2312" w:hAnsi="宋体" w:eastAsia="楷体_GB2312"/>
                            <w:sz w:val="28"/>
                            <w:szCs w:val="28"/>
                          </w:rPr>
                          <w:t>3）指挥部研究救援方案，调集专家、专业救援队伍和救援装备，负责人率现场工作组赴现场指导协调；对事发地提出应急处置指导意见和要求，协调有关部门(相邻地区)配合支援；向市委、政府和自治区应急厅报告，必要时，请求给予支持；</w:t>
                        </w:r>
                        <w:r>
                          <w:rPr>
                            <w:rFonts w:hint="eastAsia" w:ascii="楷体_GB2312" w:hAnsi="宋体" w:eastAsia="楷体_GB2312"/>
                            <w:spacing w:val="-2"/>
                            <w:sz w:val="28"/>
                            <w:szCs w:val="28"/>
                          </w:rPr>
                          <w:t>进一步采取处置措施。</w:t>
                        </w:r>
                      </w:p>
                      <w:p>
                        <w:pPr>
                          <w:pStyle w:val="2"/>
                          <w:spacing w:line="300" w:lineRule="exact"/>
                          <w:ind w:firstLine="0" w:firstLineChars="0"/>
                          <w:rPr>
                            <w:rFonts w:ascii="楷体_GB2312" w:hAnsi="宋体" w:eastAsia="楷体_GB2312"/>
                            <w:sz w:val="28"/>
                            <w:szCs w:val="28"/>
                          </w:rPr>
                        </w:pPr>
                        <w:r>
                          <w:rPr>
                            <w:rFonts w:hint="eastAsia" w:ascii="楷体_GB2312" w:eastAsia="楷体_GB2312"/>
                            <w:sz w:val="28"/>
                            <w:szCs w:val="28"/>
                          </w:rPr>
                          <w:t>4）各</w:t>
                        </w:r>
                        <w:r>
                          <w:rPr>
                            <w:rFonts w:hint="eastAsia" w:ascii="楷体_GB2312" w:hAnsi="宋体" w:eastAsia="楷体_GB2312"/>
                            <w:sz w:val="28"/>
                            <w:szCs w:val="28"/>
                          </w:rPr>
                          <w:t>应急救援队伍</w:t>
                        </w:r>
                        <w:r>
                          <w:rPr>
                            <w:rFonts w:hint="eastAsia" w:ascii="楷体_GB2312" w:eastAsia="楷体_GB2312"/>
                            <w:sz w:val="28"/>
                            <w:szCs w:val="28"/>
                          </w:rPr>
                          <w:t>履行各自职责。</w:t>
                        </w:r>
                      </w:p>
                    </w:txbxContent>
                  </v:textbox>
                </v:rect>
                <v:rect id="_x0000_s1026" o:spid="_x0000_s1026" o:spt="1" style="position:absolute;left:13623;top:898476;height:3121;width:2452;" fillcolor="#FFFFFF" filled="t" stroked="t" coordsize="21600,21600" o:gfxdata="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4ufkL4A&#10;AADbAAAADwAAAAAAAAABACAAAAAiAAAAZHJzL2Rvd25yZXYueG1sUEsBAhQAFAAAAAgAh07iQDMv&#10;BZ47AAAAOQAAABAAAAAAAAAAAQAgAAAADQEAAGRycy9zaGFwZXhtbC54bWxQSwUGAAAAAAYABgBb&#10;AQAAtwMAAAAA&#10;">
                  <v:fill on="t" focussize="0,0"/>
                  <v:stroke weight="1.75pt" color="#000000" joinstyle="miter" dashstyle="dashDot"/>
                  <v:imagedata o:title=""/>
                  <o:lock v:ext="edit" aspectratio="f"/>
                  <v:textbox>
                    <w:txbxContent>
                      <w:p>
                        <w:pPr>
                          <w:widowControl/>
                          <w:spacing w:line="180" w:lineRule="exact"/>
                          <w:ind w:firstLine="560"/>
                          <w:jc w:val="center"/>
                          <w:rPr>
                            <w:rFonts w:ascii="黑体" w:hAnsi="宋体" w:eastAsia="黑体"/>
                            <w:szCs w:val="28"/>
                          </w:rPr>
                        </w:pPr>
                      </w:p>
                      <w:p>
                        <w:pPr>
                          <w:widowControl/>
                          <w:spacing w:line="280" w:lineRule="exact"/>
                          <w:ind w:firstLine="0" w:firstLineChars="0"/>
                          <w:jc w:val="both"/>
                          <w:rPr>
                            <w:rFonts w:ascii="黑体" w:hAnsi="宋体" w:eastAsia="黑体"/>
                            <w:sz w:val="18"/>
                            <w:szCs w:val="18"/>
                          </w:rPr>
                        </w:pPr>
                        <w:r>
                          <w:rPr>
                            <w:rFonts w:hint="eastAsia" w:ascii="黑体" w:hAnsi="宋体" w:eastAsia="黑体"/>
                            <w:szCs w:val="28"/>
                          </w:rPr>
                          <w:t>由事发地部门组织成立现场救援指挥部，市生产安全事故应急指挥中心相应行业事故总指挥任指挥长。</w:t>
                        </w:r>
                      </w:p>
                      <w:p>
                        <w:pPr>
                          <w:pStyle w:val="2"/>
                          <w:spacing w:line="280" w:lineRule="exact"/>
                          <w:ind w:firstLine="0" w:firstLineChars="0"/>
                          <w:rPr>
                            <w:rFonts w:ascii="黑体" w:hAnsi="宋体" w:eastAsia="黑体"/>
                            <w:sz w:val="30"/>
                            <w:szCs w:val="30"/>
                          </w:rPr>
                        </w:pPr>
                      </w:p>
                    </w:txbxContent>
                  </v:textbox>
                </v:rect>
                <v:rect id="_x0000_s1026" o:spid="_x0000_s1026" o:spt="1" style="position:absolute;left:16991;top:898476;height:3229;width:2700;" fillcolor="#FFFFFF" filled="t" stroked="t" coordsize="21600,21600" o:gfxdata="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Mc6C7gAAADbAAAA&#10;DwAAAAAAAAABACAAAAAiAAAAZHJzL2Rvd25yZXYueG1sUEsBAhQAFAAAAAgAh07iQDMvBZ47AAAA&#10;OQAAABAAAAAAAAAAAQAgAAAABwEAAGRycy9zaGFwZXhtbC54bWxQSwUGAAAAAAYABgBbAQAAsQMA&#10;AAAA&#10;">
                  <v:fill on="t" focussize="0,0"/>
                  <v:stroke weight="1.75pt" color="#000000" joinstyle="miter" dashstyle="dashDot"/>
                  <v:imagedata o:title=""/>
                  <o:lock v:ext="edit" aspectratio="f"/>
                  <v:textbox>
                    <w:txbxContent>
                      <w:p>
                        <w:pPr>
                          <w:spacing w:line="280" w:lineRule="exact"/>
                          <w:ind w:firstLine="0" w:firstLineChars="0"/>
                          <w:jc w:val="both"/>
                          <w:rPr>
                            <w:rFonts w:ascii="楷体_GB2312" w:eastAsia="楷体_GB2312"/>
                            <w:szCs w:val="28"/>
                          </w:rPr>
                        </w:pPr>
                        <w:r>
                          <w:rPr>
                            <w:rFonts w:hint="eastAsia" w:ascii="楷体_GB2312" w:eastAsia="楷体_GB2312" w:cs="仿宋_GB2312"/>
                            <w:szCs w:val="28"/>
                          </w:rPr>
                          <w:t>现场救援指挥部在救援中发现可能直接威胁救援人员生命安全或者造成次生灾害等情况时，可以决定暂停救援，并采取措施消除隐患，化解风险。在隐患已经消除，应当继续组织救援。</w:t>
                        </w:r>
                      </w:p>
                      <w:p>
                        <w:pPr>
                          <w:ind w:firstLine="560"/>
                          <w:rPr>
                            <w:szCs w:val="30"/>
                          </w:rPr>
                        </w:pPr>
                      </w:p>
                    </w:txbxContent>
                  </v:textbox>
                </v:rect>
                <v:line id="_x0000_s1026" o:spid="_x0000_s1026" o:spt="20" style="position:absolute;left:5288;top:895448;flip:x;height:1297;width:3;" filled="f" stroked="t" coordsize="21600,21600" o:gfxdata="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5zR1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9601;top:895433;flip:x;height:2962;width:37;" filled="f" stroked="t" coordsize="21600,21600" o:gfxdata="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HZL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_x0000_s1026" o:spid="_x0000_s1026" o:spt="20" style="position:absolute;left:14572;top:895472;height:2872;width:0;" filled="f" stroked="t" coordsize="21600,21600" o:gfxdata="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kxB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8431;top:895132;height:3344;width:0;" filled="f" stroked="t" coordsize="21600,21600" o:gfxdata="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nAs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3671;top:894740;height:0;width:720;" filled="f" stroked="t" coordsize="21600,21600" o:gfxdata="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YLE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191;top:894739;flip:y;height:1;width:1628;" filled="f" stroked="t" coordsize="21600,21600" o:gfxdata="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zBD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11289;top:894740;flip:y;height:11;width:2102;" filled="f" stroked="t" coordsize="21600,21600" o:gfxdata="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k4Al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5551;top:894900;flip:y;height:0;width:2520;" filled="f" stroked="t" coordsize="21600,21600" o:gfxdata="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e18t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20051;top:898476;height:3146;width:2700;" fillcolor="#FFFFFF" filled="t" stroked="t" coordsize="21600,21600" o:gfxdata="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Yrnm8AAAA&#10;2wAAAA8AAAAAAAAAAQAgAAAAIgAAAGRycy9kb3ducmV2LnhtbFBLAQIUABQAAAAIAIdO4kAzLwWe&#10;OwAAADkAAAAQAAAAAAAAAAEAIAAAAAsBAABkcnMvc2hhcGV4bWwueG1sUEsFBgAAAAAGAAYAWwEA&#10;ALUDAAAAAA==&#10;">
                  <v:fill on="t" focussize="0,0"/>
                  <v:stroke weight="1.75pt" color="#000000" joinstyle="miter" dashstyle="dashDot"/>
                  <v:imagedata o:title=""/>
                  <o:lock v:ext="edit" aspectratio="f"/>
                  <v:textbox>
                    <w:txbxContent>
                      <w:p>
                        <w:pPr>
                          <w:spacing w:line="320" w:lineRule="exact"/>
                          <w:ind w:firstLine="0" w:firstLineChars="0"/>
                          <w:jc w:val="both"/>
                          <w:rPr>
                            <w:rFonts w:ascii="楷体_GB2312" w:eastAsia="楷体_GB2312" w:cs="仿宋_GB2312"/>
                            <w:szCs w:val="28"/>
                          </w:rPr>
                        </w:pPr>
                        <w:r>
                          <w:rPr>
                            <w:rFonts w:hint="eastAsia" w:ascii="楷体_GB2312" w:eastAsia="楷体_GB2312" w:cs="仿宋_GB2312"/>
                            <w:szCs w:val="28"/>
                          </w:rPr>
                          <w:t>事故威胁和危害得到控制、消除后，或者暂停救援不具备恢复应急救援条件并经科学论证后，现场救援指挥部经报请本级政府批准宣布终止应急救援。</w:t>
                        </w:r>
                      </w:p>
                    </w:txbxContent>
                  </v:textbox>
                </v:rect>
                <v:line id="_x0000_s1026" o:spid="_x0000_s1026" o:spt="20" style="position:absolute;left:21311;top:895132;height:3344;width:0;" filled="f" stroked="t" coordsize="21600,21600" o:gfxdata="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9VlK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_x0000_s1026" o:spid="_x0000_s1026" o:spt="1" style="position:absolute;left:18431;top:896532;height:468;width:900;" fillcolor="#FFFFFF" filled="t" stroked="t" coordsize="21600,21600" o:gfxdata="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GlZW8AAAA&#10;2wAAAA8AAAAAAAAAAQAgAAAAIgAAAGRycy9kb3ducmV2LnhtbFBLAQIUABQAAAAIAIdO4kAzLwWe&#10;OwAAADkAAAAQAAAAAAAAAAEAIAAAAAsBAABkcnMvc2hhcGV4bWwueG1sUEsFBgAAAAAGAAYAWwEA&#10;ALUDAAAAAA==&#10;">
                  <v:fill on="t" focussize="0,0"/>
                  <v:stroke weight="1.75pt" color="#000000" joinstyle="miter" dashstyle="dashDot"/>
                  <v:imagedata o:title=""/>
                  <o:lock v:ext="edit" aspectratio="f"/>
                  <v:textbox>
                    <w:txbxContent>
                      <w:p>
                        <w:pPr>
                          <w:pStyle w:val="2"/>
                          <w:spacing w:line="280" w:lineRule="exact"/>
                          <w:ind w:firstLine="0" w:firstLineChars="0"/>
                          <w:rPr>
                            <w:rFonts w:ascii="黑体" w:hAnsi="宋体" w:eastAsia="黑体"/>
                            <w:color w:val="000000"/>
                            <w:sz w:val="30"/>
                            <w:szCs w:val="30"/>
                          </w:rPr>
                        </w:pPr>
                        <w:r>
                          <w:rPr>
                            <w:rFonts w:hint="eastAsia" w:ascii="楷体_GB2312" w:hAnsi="宋体" w:eastAsia="楷体_GB2312"/>
                            <w:sz w:val="28"/>
                            <w:szCs w:val="28"/>
                          </w:rPr>
                          <w:t>暂停</w:t>
                        </w:r>
                      </w:p>
                    </w:txbxContent>
                  </v:textbox>
                </v:rect>
                <v:rect id="_x0000_s1026" o:spid="_x0000_s1026" o:spt="1" style="position:absolute;left:21311;top:896532;height:468;width:900;" fillcolor="#FFFFFF" filled="t" stroked="t" coordsize="21600,21600" o:gfxdata="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ijAOvQAA&#10;ANsAAAAPAAAAAAAAAAEAIAAAACIAAABkcnMvZG93bnJldi54bWxQSwECFAAUAAAACACHTuJAMy8F&#10;njsAAAA5AAAAEAAAAAAAAAABACAAAAAMAQAAZHJzL3NoYXBleG1sLnhtbFBLBQYAAAAABgAGAFsB&#10;AAC2AwAAAAA=&#10;">
                  <v:fill on="t" focussize="0,0"/>
                  <v:stroke weight="1.75pt" color="#000000" joinstyle="miter" dashstyle="dashDot"/>
                  <v:imagedata o:title=""/>
                  <o:lock v:ext="edit" aspectratio="f"/>
                  <v:textbox>
                    <w:txbxContent>
                      <w:p>
                        <w:pPr>
                          <w:pStyle w:val="2"/>
                          <w:spacing w:line="280" w:lineRule="exact"/>
                          <w:ind w:firstLine="0" w:firstLineChars="0"/>
                          <w:rPr>
                            <w:rFonts w:ascii="黑体" w:hAnsi="宋体" w:eastAsia="黑体"/>
                            <w:color w:val="000000"/>
                            <w:sz w:val="30"/>
                            <w:szCs w:val="30"/>
                          </w:rPr>
                        </w:pPr>
                        <w:r>
                          <w:rPr>
                            <w:rFonts w:hint="eastAsia" w:ascii="楷体_GB2312" w:hAnsi="宋体" w:eastAsia="楷体_GB2312"/>
                            <w:sz w:val="28"/>
                            <w:szCs w:val="28"/>
                          </w:rPr>
                          <w:t>终止</w:t>
                        </w:r>
                      </w:p>
                    </w:txbxContent>
                  </v:textbox>
                </v:rect>
              </v:group>
            </w:pict>
          </mc:Fallback>
        </mc:AlternateContent>
      </w:r>
    </w:p>
    <w:p>
      <w:pPr>
        <w:ind w:firstLine="560"/>
        <w:rPr>
          <w:rFonts w:hint="eastAsia" w:ascii="仿宋_GB2312" w:hAnsi="仿宋_GB2312" w:eastAsia="仿宋_GB2312" w:cs="仿宋_GB2312"/>
          <w:color w:val="auto"/>
        </w:rPr>
      </w:pPr>
    </w:p>
    <w:p>
      <w:pPr>
        <w:ind w:firstLine="560"/>
        <w:rPr>
          <w:rFonts w:hint="eastAsia" w:ascii="仿宋_GB2312" w:hAnsi="仿宋_GB2312" w:eastAsia="仿宋_GB2312" w:cs="仿宋_GB2312"/>
          <w:color w:val="auto"/>
        </w:rPr>
      </w:pPr>
    </w:p>
    <w:p>
      <w:pPr>
        <w:ind w:firstLine="560"/>
        <w:rPr>
          <w:rFonts w:hint="eastAsia" w:ascii="仿宋_GB2312" w:hAnsi="仿宋_GB2312" w:eastAsia="仿宋_GB2312" w:cs="仿宋_GB2312"/>
          <w:color w:val="auto"/>
        </w:rPr>
      </w:pPr>
    </w:p>
    <w:p>
      <w:pPr>
        <w:ind w:firstLine="560"/>
        <w:rPr>
          <w:rFonts w:hint="eastAsia" w:ascii="仿宋_GB2312" w:hAnsi="仿宋_GB2312" w:eastAsia="仿宋_GB2312" w:cs="仿宋_GB2312"/>
          <w:color w:val="auto"/>
        </w:rPr>
      </w:pPr>
    </w:p>
    <w:p>
      <w:pPr>
        <w:ind w:firstLine="560"/>
        <w:rPr>
          <w:rFonts w:hint="eastAsia" w:ascii="仿宋_GB2312" w:hAnsi="仿宋_GB2312" w:eastAsia="仿宋_GB2312" w:cs="仿宋_GB2312"/>
          <w:color w:val="auto"/>
        </w:rPr>
      </w:pPr>
    </w:p>
    <w:p>
      <w:pPr>
        <w:ind w:firstLine="560"/>
        <w:rPr>
          <w:rFonts w:hint="eastAsia" w:ascii="仿宋_GB2312" w:hAnsi="仿宋_GB2312" w:eastAsia="仿宋_GB2312" w:cs="仿宋_GB2312"/>
          <w:color w:val="auto"/>
        </w:rPr>
      </w:pPr>
    </w:p>
    <w:p>
      <w:pPr>
        <w:ind w:firstLine="560"/>
        <w:rPr>
          <w:rFonts w:hint="eastAsia" w:ascii="仿宋_GB2312" w:hAnsi="仿宋_GB2312" w:eastAsia="仿宋_GB2312" w:cs="仿宋_GB2312"/>
          <w:color w:val="auto"/>
        </w:rPr>
      </w:pPr>
    </w:p>
    <w:p>
      <w:pPr>
        <w:ind w:firstLine="560"/>
        <w:rPr>
          <w:rFonts w:hint="eastAsia" w:ascii="仿宋_GB2312" w:hAnsi="仿宋_GB2312" w:eastAsia="仿宋_GB2312" w:cs="仿宋_GB2312"/>
          <w:color w:val="auto"/>
        </w:rPr>
      </w:pPr>
    </w:p>
    <w:p>
      <w:pPr>
        <w:ind w:firstLine="560"/>
        <w:rPr>
          <w:rFonts w:hint="eastAsia" w:ascii="仿宋_GB2312" w:hAnsi="仿宋_GB2312" w:eastAsia="仿宋_GB2312" w:cs="仿宋_GB2312"/>
          <w:color w:val="auto"/>
        </w:rPr>
      </w:pPr>
    </w:p>
    <w:p>
      <w:pPr>
        <w:ind w:firstLine="0" w:firstLineChars="0"/>
        <w:rPr>
          <w:rFonts w:hint="eastAsia" w:ascii="仿宋_GB2312" w:hAnsi="仿宋_GB2312" w:eastAsia="仿宋_GB2312" w:cs="仿宋_GB2312"/>
          <w:color w:val="auto"/>
        </w:rPr>
      </w:pPr>
    </w:p>
    <w:p>
      <w:pPr>
        <w:ind w:firstLine="560"/>
        <w:rPr>
          <w:rFonts w:hint="eastAsia" w:ascii="仿宋_GB2312" w:hAnsi="仿宋_GB2312" w:eastAsia="仿宋_GB2312" w:cs="仿宋_GB2312"/>
          <w:color w:val="auto"/>
        </w:rPr>
      </w:pPr>
    </w:p>
    <w:p>
      <w:pPr>
        <w:ind w:firstLine="560"/>
        <w:rPr>
          <w:rFonts w:hint="eastAsia" w:ascii="仿宋_GB2312" w:hAnsi="仿宋_GB2312" w:eastAsia="仿宋_GB2312" w:cs="仿宋_GB2312"/>
          <w:color w:val="auto"/>
        </w:rPr>
      </w:pPr>
    </w:p>
    <w:p>
      <w:pPr>
        <w:ind w:firstLine="0" w:firstLineChars="0"/>
        <w:rPr>
          <w:rFonts w:hint="eastAsia" w:ascii="仿宋_GB2312" w:hAnsi="仿宋_GB2312" w:eastAsia="仿宋_GB2312" w:cs="仿宋_GB2312"/>
          <w:color w:val="auto"/>
        </w:rPr>
      </w:pPr>
    </w:p>
    <w:p>
      <w:pPr>
        <w:ind w:firstLine="560"/>
        <w:rPr>
          <w:rFonts w:hint="eastAsia" w:ascii="仿宋_GB2312" w:hAnsi="仿宋_GB2312" w:eastAsia="仿宋_GB2312" w:cs="仿宋_GB2312"/>
          <w:color w:val="auto"/>
        </w:rPr>
      </w:pPr>
    </w:p>
    <w:bookmarkEnd w:id="116"/>
    <w:bookmarkEnd w:id="117"/>
    <w:p>
      <w:pPr>
        <w:ind w:firstLine="560"/>
        <w:rPr>
          <w:rFonts w:ascii="仿宋_GB2312" w:hAnsi="仿宋_GB2312" w:eastAsia="仿宋_GB2312" w:cs="仿宋_GB2312"/>
        </w:rPr>
      </w:pPr>
    </w:p>
    <w:sectPr>
      <w:headerReference r:id="rId11" w:type="default"/>
      <w:footerReference r:id="rId12" w:type="default"/>
      <w:pgSz w:w="23757" w:h="16783" w:orient="landscape"/>
      <w:pgMar w:top="1587" w:right="1417" w:bottom="1134" w:left="1134" w:header="964" w:footer="737" w:gutter="0"/>
      <w:pgNumType w:fmt="numberInDash"/>
      <w:cols w:space="0" w:num="1"/>
      <w:docGrid w:type="lines" w:linePitch="3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123190</wp:posOffset>
              </wp:positionV>
              <wp:extent cx="5703570" cy="10160"/>
              <wp:effectExtent l="0" t="4445" r="11430" b="13970"/>
              <wp:wrapNone/>
              <wp:docPr id="1" name="直线 15"/>
              <wp:cNvGraphicFramePr/>
              <a:graphic xmlns:a="http://schemas.openxmlformats.org/drawingml/2006/main">
                <a:graphicData uri="http://schemas.microsoft.com/office/word/2010/wordprocessingShape">
                  <wps:wsp>
                    <wps:cNvCnPr/>
                    <wps:spPr>
                      <a:xfrm>
                        <a:off x="0" y="0"/>
                        <a:ext cx="5703570" cy="101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3.25pt;margin-top:9.7pt;height:0.8pt;width:449.1pt;z-index:251665408;mso-width-relative:page;mso-height-relative:page;" filled="f" stroked="t" coordsize="21600,21600" o:gfxdata="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rpfdcAAAAIAQAADwAAAAAAAAABACAAAAAiAAAAZHJzL2Rvd25yZXYueG1sUEsBAhQAFAAAAAgA&#10;h07iQJd2lcPtAQAA4AMAAA4AAAAAAAAAAQAgAAAAJgEAAGRycy9lMm9Eb2MueG1sUEsFBgAAAAAG&#10;AAYAWQEAAIU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ind w:firstLine="360"/>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x2Xs4BAACpAwAADgAAAGRycy9lMm9Eb2MueG1srVPNjtMwEL4j8Q6W&#10;7zRpE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8hVnTlh68cv3b5cfvy4/vzKK&#10;kUB9wIrq7gJVxuGtH2ht5jhSMPEeWrDpS4wY5Une81VeNUQm06X1ar0uKSUpNzuEXzxcD4DxnfKW&#10;JaPmQO+XZRWnDxjH0rkkdXP+VhuT39C4vwKEOUZUXoLpdmIyTpysOOyHid7eN2di19Mi1NzR3nNm&#10;3jvSOe3MbMBs7GfjGEAfOhp0mafE8OYYaaQ8aeowwhLD5NALZq7TtqUV+dPPVQ9/2P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Ebsdl7OAQAAqQMAAA4AAAAAAAAAAQAgAAAAHgEAAGRycy9l&#10;Mm9Eb2MueG1sUEsFBgAAAAAGAAYAWQEAAF4FAAAAAA==&#10;">
              <v:fill on="f" focussize="0,0"/>
              <v:stroke on="f"/>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43535" cy="3810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343535" cy="381000"/>
                      </a:xfrm>
                      <a:prstGeom prst="rect">
                        <a:avLst/>
                      </a:prstGeom>
                      <a:noFill/>
                      <a:ln w="15875">
                        <a:noFill/>
                      </a:ln>
                      <a:effectLst/>
                    </wps:spPr>
                    <wps:txbx>
                      <w:txbxContent>
                        <w:p>
                          <w:pPr>
                            <w:snapToGrid w:val="0"/>
                            <w:ind w:firstLine="360"/>
                            <w:rPr>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0pt;width:27.05pt;mso-position-horizontal:center;mso-position-horizontal-relative:margin;mso-wrap-style:none;z-index:251663360;mso-width-relative:page;mso-height-relative:page;" filled="f" stroked="f" coordsize="21600,21600" o:gfxdata="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9/RaE1QAAAAMBAAAPAAAA&#10;AAAAAAEAIAAAACIAAABkcnMvZG93bnJldi54bWxQSwECFAAUAAAACACHTuJAeTbH3d8BAACxAwAA&#10;DgAAAAAAAAABACAAAAAkAQAAZHJzL2Uyb0RvYy54bWxQSwUGAAAAAAYABgBZAQAAdQUAAAAA&#10;">
              <v:fill on="f" focussize="0,0"/>
              <v:stroke on="f" weight="1.25pt"/>
              <v:imagedata o:title=""/>
              <o:lock v:ext="edit" aspectratio="f"/>
              <v:textbox inset="0mm,0mm,0mm,0mm" style="mso-fit-shape-to-text:t;">
                <w:txbxContent>
                  <w:p>
                    <w:pPr>
                      <w:snapToGrid w:val="0"/>
                      <w:ind w:firstLine="360"/>
                      <w:rPr>
                        <w:sz w:val="18"/>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70535" cy="381000"/>
              <wp:effectExtent l="0" t="0" r="0" b="0"/>
              <wp:wrapNone/>
              <wp:docPr id="36" name="矩形 36"/>
              <wp:cNvGraphicFramePr/>
              <a:graphic xmlns:a="http://schemas.openxmlformats.org/drawingml/2006/main">
                <a:graphicData uri="http://schemas.microsoft.com/office/word/2010/wordprocessingShape">
                  <wps:wsp>
                    <wps:cNvSpPr/>
                    <wps:spPr>
                      <a:xfrm>
                        <a:off x="0" y="0"/>
                        <a:ext cx="470535" cy="381000"/>
                      </a:xfrm>
                      <a:prstGeom prst="rect">
                        <a:avLst/>
                      </a:prstGeom>
                      <a:noFill/>
                      <a:ln>
                        <a:noFill/>
                      </a:ln>
                      <a:effectLst/>
                    </wps:spPr>
                    <wps:txbx>
                      <w:txbxContent>
                        <w:p>
                          <w:pPr>
                            <w:ind w:firstLine="560"/>
                          </w:pPr>
                        </w:p>
                      </w:txbxContent>
                    </wps:txbx>
                    <wps:bodyPr wrap="none" lIns="0" tIns="0" rIns="0" bIns="0" upright="0">
                      <a:spAutoFit/>
                    </wps:bodyPr>
                  </wps:wsp>
                </a:graphicData>
              </a:graphic>
            </wp:anchor>
          </w:drawing>
        </mc:Choice>
        <mc:Fallback>
          <w:pict>
            <v:rect id="_x0000_s1026" o:spid="_x0000_s1026" o:spt="1" style="position:absolute;left:0pt;margin-top:0pt;height:30pt;width:37.05pt;mso-position-horizontal:center;mso-position-horizontal-relative:margin;mso-wrap-style:none;z-index:251662336;mso-width-relative:page;mso-height-relative:page;" filled="f" stroked="f" coordsize="21600,21600" o:gfxdata="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B/AwA0gAAAAMBAAAPAAAAAAAAAAEAIAAAACIAAABkcnMvZG93bnJl&#10;di54bWxQSwECFAAUAAAACACHTuJARWF5AcoBAACaAwAADgAAAAAAAAABACAAAAAhAQAAZHJzL2Uy&#10;b0RvYy54bWxQSwUGAAAAAAYABgBZAQAAXQUAAAAA&#10;">
              <v:fill on="f" focussize="0,0"/>
              <v:stroke on="f"/>
              <v:imagedata o:title=""/>
              <o:lock v:ext="edit" aspectratio="f"/>
              <v:textbox inset="0mm,0mm,0mm,0mm" style="mso-fit-shape-to-text:t;">
                <w:txbxContent>
                  <w:p>
                    <w:pPr>
                      <w:ind w:firstLine="560"/>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jc w:val="center"/>
    </w:pPr>
    <w:r>
      <mc:AlternateContent>
        <mc:Choice Requires="wps">
          <w:drawing>
            <wp:anchor distT="0" distB="0" distL="114300" distR="114300" simplePos="0" relativeHeight="251668480" behindDoc="0" locked="0" layoutInCell="1" allowOverlap="1">
              <wp:simplePos x="0" y="0"/>
              <wp:positionH relativeFrom="column">
                <wp:posOffset>-17145</wp:posOffset>
              </wp:positionH>
              <wp:positionV relativeFrom="paragraph">
                <wp:posOffset>111125</wp:posOffset>
              </wp:positionV>
              <wp:extent cx="5798820" cy="1905"/>
              <wp:effectExtent l="0" t="0" r="0" b="0"/>
              <wp:wrapNone/>
              <wp:docPr id="4" name="直线 22"/>
              <wp:cNvGraphicFramePr/>
              <a:graphic xmlns:a="http://schemas.openxmlformats.org/drawingml/2006/main">
                <a:graphicData uri="http://schemas.microsoft.com/office/word/2010/wordprocessingShape">
                  <wps:wsp>
                    <wps:cNvCnPr/>
                    <wps:spPr>
                      <a:xfrm flipV="1">
                        <a:off x="0" y="0"/>
                        <a:ext cx="5798820"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flip:y;margin-left:-1.35pt;margin-top:8.75pt;height:0.15pt;width:456.6pt;z-index:251668480;mso-width-relative:page;mso-height-relative:page;" filled="f" stroked="t" coordsize="21600,21600" o:gfxdata="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vFKf1QAAAAgBAAAPAAAAAAAAAAEAIAAAACIAAABkcnMvZG93bnJldi54bWxQSwECFAAUAAAA&#10;CACHTuJAf1oU7/EBAADpAwAADgAAAAAAAAABACAAAAAkAQAAZHJzL2Uyb0RvYy54bWxQSwUGAAAA&#10;AAYABgBZAQAAhwU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360"/>
                            <w:rPr>
                              <w:rStyle w:val="18"/>
                            </w:rPr>
                          </w:pPr>
                          <w:r>
                            <w:rPr>
                              <w:rStyle w:val="18"/>
                              <w:rFonts w:eastAsia="宋体"/>
                            </w:rPr>
                            <w:fldChar w:fldCharType="begin"/>
                          </w:r>
                          <w:r>
                            <w:rPr>
                              <w:rStyle w:val="18"/>
                              <w:rFonts w:eastAsia="宋体"/>
                            </w:rPr>
                            <w:instrText xml:space="preserve">PAGE  </w:instrText>
                          </w:r>
                          <w:r>
                            <w:rPr>
                              <w:rStyle w:val="18"/>
                              <w:rFonts w:eastAsia="宋体"/>
                            </w:rPr>
                            <w:fldChar w:fldCharType="separate"/>
                          </w:r>
                          <w:r>
                            <w:rPr>
                              <w:rStyle w:val="18"/>
                              <w:rFonts w:eastAsia="宋体"/>
                            </w:rPr>
                            <w:t>1</w:t>
                          </w:r>
                          <w:r>
                            <w:rPr>
                              <w:rStyle w:val="18"/>
                              <w:rFonts w:eastAsia="宋体"/>
                            </w:rPr>
                            <w:fldChar w:fldCharType="end"/>
                          </w:r>
                        </w:p>
                      </w:txbxContent>
                    </wps:txbx>
                    <wps:bodyPr wrap="none" lIns="0" tIns="0" rIns="0" bIns="0" upright="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uFoBskBAACa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pt6IoSxy0O/PL92+XHr8vPr2R5&#10;k/XpA9SY9hgwMQ33fsCtmf2Azkx7UNHmLxIiGEd1z1d15ZCIyI/Wq/W6wpDA2HxBfPb0PERIb6W3&#10;JBsNjTi+oio/vYc0ps4puZrzD9qYMkLj/nIgZvaw3PvYY7bSsB8mQnvfnpFPj5NvqMNFp8S8cyhs&#10;XpLZiLOxn41jiPrQlS3K9SDcHRM2UXrLFUbYqTCOrLCb1ivvxJ/3kvX0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W4WgGyQEAAJoDAAAOAAAAAAAAAAEAIAAAAB4BAABkcnMvZTJvRG9j&#10;LnhtbFBLBQYAAAAABgAGAFkBAABZBQAAAAA=&#10;">
              <v:fill on="f" focussize="0,0"/>
              <v:stroke on="f"/>
              <v:imagedata o:title=""/>
              <o:lock v:ext="edit" aspectratio="f"/>
              <v:textbox inset="0mm,0mm,0mm,0mm" style="mso-fit-shape-to-text:t;">
                <w:txbxContent>
                  <w:p>
                    <w:pPr>
                      <w:pStyle w:val="9"/>
                      <w:ind w:firstLine="360"/>
                      <w:rPr>
                        <w:rStyle w:val="18"/>
                      </w:rPr>
                    </w:pPr>
                    <w:r>
                      <w:rPr>
                        <w:rStyle w:val="18"/>
                        <w:rFonts w:eastAsia="宋体"/>
                      </w:rPr>
                      <w:fldChar w:fldCharType="begin"/>
                    </w:r>
                    <w:r>
                      <w:rPr>
                        <w:rStyle w:val="18"/>
                        <w:rFonts w:eastAsia="宋体"/>
                      </w:rPr>
                      <w:instrText xml:space="preserve">PAGE  </w:instrText>
                    </w:r>
                    <w:r>
                      <w:rPr>
                        <w:rStyle w:val="18"/>
                        <w:rFonts w:eastAsia="宋体"/>
                      </w:rPr>
                      <w:fldChar w:fldCharType="separate"/>
                    </w:r>
                    <w:r>
                      <w:rPr>
                        <w:rStyle w:val="18"/>
                        <w:rFonts w:eastAsia="宋体"/>
                      </w:rPr>
                      <w:t>1</w:t>
                    </w:r>
                    <w:r>
                      <w:rPr>
                        <w:rStyle w:val="18"/>
                        <w:rFonts w:eastAsia="宋体"/>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38100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286385" cy="381000"/>
                      </a:xfrm>
                      <a:prstGeom prst="rect">
                        <a:avLst/>
                      </a:prstGeom>
                      <a:noFill/>
                      <a:ln>
                        <a:noFill/>
                      </a:ln>
                      <a:effectLst/>
                    </wps:spPr>
                    <wps:txbx>
                      <w:txbxContent>
                        <w:p>
                          <w:pPr>
                            <w:pStyle w:val="9"/>
                            <w:ind w:firstLine="360"/>
                            <w:rPr>
                              <w:rStyle w:val="18"/>
                            </w:rPr>
                          </w:pPr>
                          <w:r>
                            <w:fldChar w:fldCharType="begin"/>
                          </w:r>
                          <w:r>
                            <w:rPr>
                              <w:rStyle w:val="18"/>
                              <w:rFonts w:eastAsia="宋体"/>
                            </w:rPr>
                            <w:instrText xml:space="preserve">PAGE  </w:instrText>
                          </w:r>
                          <w:r>
                            <w:fldChar w:fldCharType="separate"/>
                          </w:r>
                          <w:r>
                            <w:rPr>
                              <w:rStyle w:val="18"/>
                              <w:rFonts w:eastAsia="宋体"/>
                            </w:rP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0pt;width:22.55pt;mso-position-horizontal:center;mso-position-horizontal-relative:margin;mso-wrap-style:none;z-index:251659264;mso-width-relative:page;mso-height-relative:page;" filled="f" stroked="f" coordsize="21600,21600" o:gfxdata="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&#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cwHS/RAAAAAwEAAA8AAAAAAAAAAQAgAAAAIgAAAGRy&#10;cy9kb3ducmV2LnhtbFBLAQIUABQAAAAIAIdO4kBkNRV20wEAAKcDAAAOAAAAAAAAAAEAIAAAACAB&#10;AABkcnMvZTJvRG9jLnhtbFBLBQYAAAAABgAGAFkBAABlBQAAAAA=&#10;">
              <v:fill on="f" focussize="0,0"/>
              <v:stroke on="f"/>
              <v:imagedata o:title=""/>
              <o:lock v:ext="edit" aspectratio="f"/>
              <v:textbox inset="0mm,0mm,0mm,0mm" style="mso-fit-shape-to-text:t;">
                <w:txbxContent>
                  <w:p>
                    <w:pPr>
                      <w:pStyle w:val="9"/>
                      <w:ind w:firstLine="360"/>
                      <w:rPr>
                        <w:rStyle w:val="18"/>
                      </w:rPr>
                    </w:pPr>
                    <w:r>
                      <w:fldChar w:fldCharType="begin"/>
                    </w:r>
                    <w:r>
                      <w:rPr>
                        <w:rStyle w:val="18"/>
                        <w:rFonts w:eastAsia="宋体"/>
                      </w:rPr>
                      <w:instrText xml:space="preserve">PAGE  </w:instrText>
                    </w:r>
                    <w:r>
                      <w:fldChar w:fldCharType="separate"/>
                    </w:r>
                    <w:r>
                      <w:rPr>
                        <w:rStyle w:val="18"/>
                        <w:rFonts w:eastAsia="宋体"/>
                      </w:rP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360"/>
      <w:rPr>
        <w:rStyle w:val="18"/>
      </w:rPr>
    </w:pPr>
    <w:r>
      <w:fldChar w:fldCharType="begin"/>
    </w:r>
    <w:r>
      <w:rPr>
        <w:rStyle w:val="18"/>
      </w:rPr>
      <w:instrText xml:space="preserve">PAGE  </w:instrText>
    </w:r>
    <w:r>
      <w:fldChar w:fldCharType="end"/>
    </w:r>
  </w:p>
  <w:p>
    <w:pPr>
      <w:pStyle w:val="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86385" cy="3810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286385" cy="381000"/>
                      </a:xfrm>
                      <a:prstGeom prst="rect">
                        <a:avLst/>
                      </a:prstGeom>
                      <a:noFill/>
                      <a:ln>
                        <a:noFill/>
                      </a:ln>
                      <a:effectLst/>
                    </wps:spPr>
                    <wps:txbx>
                      <w:txbxContent>
                        <w:p>
                          <w:pPr>
                            <w:snapToGrid w:val="0"/>
                            <w:ind w:firstLine="360"/>
                            <w:rPr>
                              <w:sz w:val="18"/>
                            </w:rPr>
                          </w:pPr>
                          <w:r>
                            <w:rPr>
                              <w:rFonts w:hint="eastAsia"/>
                              <w:sz w:val="18"/>
                            </w:rPr>
                            <w:t>1</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30pt;width:22.55pt;mso-position-horizontal:center;mso-position-horizontal-relative:margin;mso-wrap-style:none;z-index:251661312;mso-width-relative:page;mso-height-relative:page;" filled="f" stroked="f" coordsize="21600,21600" o:gfxdata="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zAdL9EAAAADAQAADwAAAAAAAAABACAAAAAiAAAA&#10;ZHJzL2Rvd25yZXYueG1sUEsBAhQAFAAAAAgAh07iQCSXM1zVAQAApwMAAA4AAAAAAAAAAQAgAAAA&#10;IAEAAGRycy9lMm9Eb2MueG1sUEsFBgAAAAAGAAYAWQEAAGcFAAAAAA==&#10;">
              <v:fill on="f" focussize="0,0"/>
              <v:stroke on="f"/>
              <v:imagedata o:title=""/>
              <o:lock v:ext="edit" aspectratio="f"/>
              <v:textbox inset="0mm,0mm,0mm,0mm" style="mso-fit-shape-to-text:t;">
                <w:txbxContent>
                  <w:p>
                    <w:pPr>
                      <w:snapToGrid w:val="0"/>
                      <w:ind w:firstLine="360"/>
                      <w:rPr>
                        <w:sz w:val="18"/>
                      </w:rPr>
                    </w:pPr>
                    <w:r>
                      <w:rPr>
                        <w:rFonts w:hint="eastAsia"/>
                        <w:sz w:val="18"/>
                      </w:rPr>
                      <w:t>1</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-6350</wp:posOffset>
              </wp:positionV>
              <wp:extent cx="13442950" cy="22860"/>
              <wp:effectExtent l="0" t="4445" r="6350" b="10795"/>
              <wp:wrapNone/>
              <wp:docPr id="5" name="直线 27"/>
              <wp:cNvGraphicFramePr/>
              <a:graphic xmlns:a="http://schemas.openxmlformats.org/drawingml/2006/main">
                <a:graphicData uri="http://schemas.microsoft.com/office/word/2010/wordprocessingShape">
                  <wps:wsp>
                    <wps:cNvCnPr/>
                    <wps:spPr>
                      <a:xfrm>
                        <a:off x="0" y="0"/>
                        <a:ext cx="13442950" cy="228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margin-left:0.1pt;margin-top:-0.5pt;height:1.8pt;width:1058.5pt;z-index:251669504;mso-width-relative:page;mso-height-relative:page;" filled="f" stroked="t" coordsize="21600,21600" o:gfxdata="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3/rc1AAAAAYBAAAPAAAAAAAAAAEAIAAAACIAAABkcnMvZG93bnJldi54bWxQSwECFAAUAAAACACH&#10;TuJAfsY1Au8BAADhAwAADgAAAAAAAAABACAAAAAjAQAAZHJzL2Uyb0RvYy54bWxQSwUGAAAAAAYA&#10;BgBZAQAAhAUAAAAA&#10;">
              <v:fill on="f" focussize="0,0"/>
              <v:stroke color="#000000" joinstyle="round"/>
              <v:imagedata o:title=""/>
              <o:lock v:ext="edit" aspectratio="f"/>
            </v:line>
          </w:pict>
        </mc:Fallback>
      </mc:AlternateContent>
    </w: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360"/>
                            <w:rPr>
                              <w:rStyle w:val="18"/>
                            </w:rPr>
                          </w:pPr>
                          <w:r>
                            <w:fldChar w:fldCharType="begin"/>
                          </w:r>
                          <w:r>
                            <w:rPr>
                              <w:rStyle w:val="18"/>
                            </w:rPr>
                            <w:instrText xml:space="preserve">PAGE  </w:instrText>
                          </w:r>
                          <w:r>
                            <w:fldChar w:fldCharType="separate"/>
                          </w:r>
                          <w:r>
                            <w:rPr>
                              <w:rStyle w:val="18"/>
                            </w:rPr>
                            <w:t>39</w:t>
                          </w:r>
                          <w: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bhiFc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LV&#10;M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NuGIVyQEAAJoDAAAOAAAAAAAAAAEAIAAAAB4BAABkcnMvZTJvRG9j&#10;LnhtbFBLBQYAAAAABgAGAFkBAABZBQAAAAA=&#10;">
              <v:fill on="f" focussize="0,0"/>
              <v:stroke on="f"/>
              <v:imagedata o:title=""/>
              <o:lock v:ext="edit" aspectratio="f"/>
              <v:textbox inset="0mm,0mm,0mm,0mm" style="mso-fit-shape-to-text:t;">
                <w:txbxContent>
                  <w:p>
                    <w:pPr>
                      <w:pStyle w:val="9"/>
                      <w:ind w:firstLine="360"/>
                      <w:rPr>
                        <w:rStyle w:val="18"/>
                      </w:rPr>
                    </w:pPr>
                    <w:r>
                      <w:fldChar w:fldCharType="begin"/>
                    </w:r>
                    <w:r>
                      <w:rPr>
                        <w:rStyle w:val="18"/>
                      </w:rPr>
                      <w:instrText xml:space="preserve">PAGE  </w:instrText>
                    </w:r>
                    <w:r>
                      <w:fldChar w:fldCharType="separate"/>
                    </w:r>
                    <w:r>
                      <w:rPr>
                        <w:rStyle w:val="18"/>
                      </w:rPr>
                      <w:t>39</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6" name="矩形 12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ind w:firstLine="560"/>
                          </w:pP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nU410cYBAACeAwAADgAAAAAAAAABACAAAAAfAQAAZHJzL2Uyb0RvYy54&#10;bWxQSwUGAAAAAAYABgBZAQAAVwUAAAAA&#10;">
              <v:fill on="f" focussize="0,0"/>
              <v:stroke on="f"/>
              <v:imagedata o:title=""/>
              <o:lock v:ext="edit" aspectratio="f"/>
              <v:textbox inset="0mm,0mm,0mm,0mm" style="mso-fit-shape-to-text:t;">
                <w:txbxContent>
                  <w:p>
                    <w:pPr>
                      <w:ind w:firstLine="560"/>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500" w:lineRule="exact"/>
      <w:ind w:firstLine="0" w:firstLineChars="0"/>
      <w:jc w:val="center"/>
      <w:textAlignment w:val="auto"/>
    </w:pPr>
    <w:r>
      <w:rPr>
        <w:rFonts w:hint="eastAsia" w:ascii="楷体_GB2312" w:hAnsi="楷体_GB2312" w:eastAsia="楷体_GB2312" w:cs="楷体_GB2312"/>
        <w:b w:val="0"/>
        <w:bCs/>
        <w:sz w:val="21"/>
        <w:szCs w:val="21"/>
      </w:rPr>
      <w:t>巴彦淖尔市生产安全事故应急预案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500" w:lineRule="exact"/>
      <w:ind w:firstLine="0" w:firstLineChars="0"/>
      <w:jc w:val="center"/>
      <w:textAlignment w:val="auto"/>
    </w:pPr>
    <w:r>
      <w:rPr>
        <w:rFonts w:hint="eastAsia" w:ascii="楷体_GB2312" w:hAnsi="楷体_GB2312" w:eastAsia="楷体_GB2312" w:cs="楷体_GB2312"/>
        <w:b w:val="0"/>
        <w:bCs/>
        <w:sz w:val="21"/>
        <w:szCs w:val="21"/>
      </w:rPr>
      <w:t>巴彦淖尔市生产安全事故应急预案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500" w:lineRule="exact"/>
      <w:ind w:firstLine="0" w:firstLineChars="0"/>
      <w:jc w:val="center"/>
      <w:textAlignment w:val="auto"/>
    </w:pPr>
    <w:r>
      <w:rPr>
        <w:rFonts w:hint="eastAsia" w:ascii="楷体_GB2312" w:hAnsi="楷体_GB2312" w:eastAsia="楷体_GB2312" w:cs="楷体_GB2312"/>
        <w:b w:val="0"/>
        <w:bCs/>
        <w:sz w:val="21"/>
        <w:szCs w:val="21"/>
      </w:rPr>
      <w:t>巴彦淖尔市生产安全事故应急预案</w:t>
    </w:r>
  </w:p>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7F78C8"/>
    <w:multiLevelType w:val="singleLevel"/>
    <w:tmpl w:val="967F78C8"/>
    <w:lvl w:ilvl="0" w:tentative="0">
      <w:start w:val="1"/>
      <w:numFmt w:val="decimal"/>
      <w:suff w:val="nothing"/>
      <w:lvlText w:val="%1、"/>
      <w:lvlJc w:val="left"/>
    </w:lvl>
  </w:abstractNum>
  <w:abstractNum w:abstractNumId="1">
    <w:nsid w:val="AF2AD7EA"/>
    <w:multiLevelType w:val="singleLevel"/>
    <w:tmpl w:val="AF2AD7E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drawingGridHorizontalSpacing w:val="280"/>
  <w:drawingGridVerticalSpacing w:val="200"/>
  <w:displayHorizontalDrawingGridEvery w:val="1"/>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C28B7"/>
    <w:rsid w:val="000B09CE"/>
    <w:rsid w:val="0016721A"/>
    <w:rsid w:val="001971B4"/>
    <w:rsid w:val="001E2C98"/>
    <w:rsid w:val="00214D59"/>
    <w:rsid w:val="002906D5"/>
    <w:rsid w:val="002A07DE"/>
    <w:rsid w:val="002A0C2F"/>
    <w:rsid w:val="003265B6"/>
    <w:rsid w:val="003C52AF"/>
    <w:rsid w:val="003E0645"/>
    <w:rsid w:val="003F57B9"/>
    <w:rsid w:val="00407B80"/>
    <w:rsid w:val="00410221"/>
    <w:rsid w:val="00445E2C"/>
    <w:rsid w:val="00447CBE"/>
    <w:rsid w:val="004B0ADA"/>
    <w:rsid w:val="00510330"/>
    <w:rsid w:val="005112A4"/>
    <w:rsid w:val="00517D77"/>
    <w:rsid w:val="00560FD3"/>
    <w:rsid w:val="006004C4"/>
    <w:rsid w:val="0061069D"/>
    <w:rsid w:val="00655B79"/>
    <w:rsid w:val="006A0E27"/>
    <w:rsid w:val="006D307F"/>
    <w:rsid w:val="006E304C"/>
    <w:rsid w:val="006E4D49"/>
    <w:rsid w:val="00715AA1"/>
    <w:rsid w:val="00760AFD"/>
    <w:rsid w:val="00772007"/>
    <w:rsid w:val="00843F57"/>
    <w:rsid w:val="008855F6"/>
    <w:rsid w:val="008C6B49"/>
    <w:rsid w:val="00911F45"/>
    <w:rsid w:val="009601CC"/>
    <w:rsid w:val="009A06B6"/>
    <w:rsid w:val="009C6FF2"/>
    <w:rsid w:val="00A46B88"/>
    <w:rsid w:val="00B06B82"/>
    <w:rsid w:val="00B540B9"/>
    <w:rsid w:val="00C25D87"/>
    <w:rsid w:val="00C63D0B"/>
    <w:rsid w:val="00C921D0"/>
    <w:rsid w:val="00D134C6"/>
    <w:rsid w:val="00D13CFA"/>
    <w:rsid w:val="00D35B33"/>
    <w:rsid w:val="00D36257"/>
    <w:rsid w:val="00D5505D"/>
    <w:rsid w:val="00D66CAB"/>
    <w:rsid w:val="00DC4036"/>
    <w:rsid w:val="00EB5B75"/>
    <w:rsid w:val="00F12FFD"/>
    <w:rsid w:val="00F13F6A"/>
    <w:rsid w:val="00FB0120"/>
    <w:rsid w:val="00FF0E4A"/>
    <w:rsid w:val="05230AC2"/>
    <w:rsid w:val="06BF1855"/>
    <w:rsid w:val="0A587E97"/>
    <w:rsid w:val="0C334981"/>
    <w:rsid w:val="0CA548F9"/>
    <w:rsid w:val="16D76A89"/>
    <w:rsid w:val="1C91629E"/>
    <w:rsid w:val="1CAC28B7"/>
    <w:rsid w:val="22427BAD"/>
    <w:rsid w:val="23F67465"/>
    <w:rsid w:val="24984A4A"/>
    <w:rsid w:val="2542742E"/>
    <w:rsid w:val="2AB02541"/>
    <w:rsid w:val="2C997422"/>
    <w:rsid w:val="2EAB63F7"/>
    <w:rsid w:val="32263E72"/>
    <w:rsid w:val="34EE1F36"/>
    <w:rsid w:val="35041B9D"/>
    <w:rsid w:val="37C37EF0"/>
    <w:rsid w:val="3CAB7B16"/>
    <w:rsid w:val="3DED67AE"/>
    <w:rsid w:val="41EE2FED"/>
    <w:rsid w:val="45216208"/>
    <w:rsid w:val="452C7215"/>
    <w:rsid w:val="454A2D7E"/>
    <w:rsid w:val="4B654CAC"/>
    <w:rsid w:val="4B677D6E"/>
    <w:rsid w:val="4B742890"/>
    <w:rsid w:val="4E7A7836"/>
    <w:rsid w:val="4F251B42"/>
    <w:rsid w:val="51DF019E"/>
    <w:rsid w:val="52C95BC5"/>
    <w:rsid w:val="575C1BE5"/>
    <w:rsid w:val="57C17FF9"/>
    <w:rsid w:val="59453A90"/>
    <w:rsid w:val="5F321FDD"/>
    <w:rsid w:val="607A2749"/>
    <w:rsid w:val="64955605"/>
    <w:rsid w:val="66EF2498"/>
    <w:rsid w:val="68151DC3"/>
    <w:rsid w:val="68414158"/>
    <w:rsid w:val="688B68E1"/>
    <w:rsid w:val="69B161D8"/>
    <w:rsid w:val="7378168A"/>
    <w:rsid w:val="7CB41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pPr>
    <w:rPr>
      <w:rFonts w:ascii="Times New Roman" w:hAnsi="Times New Roman" w:eastAsia="仿宋" w:cs="Times New Roman"/>
      <w:kern w:val="2"/>
      <w:sz w:val="28"/>
      <w:szCs w:val="24"/>
      <w:lang w:val="en-US" w:eastAsia="zh-CN" w:bidi="ar-SA"/>
    </w:rPr>
  </w:style>
  <w:style w:type="paragraph" w:styleId="3">
    <w:name w:val="heading 1"/>
    <w:basedOn w:val="1"/>
    <w:next w:val="1"/>
    <w:qFormat/>
    <w:uiPriority w:val="0"/>
    <w:pPr>
      <w:ind w:firstLine="0" w:firstLineChars="0"/>
      <w:jc w:val="center"/>
      <w:outlineLvl w:val="0"/>
    </w:pPr>
    <w:rPr>
      <w:rFonts w:ascii="仿宋_GB2312" w:hAnsi="仿宋"/>
      <w:b/>
      <w:sz w:val="32"/>
      <w:szCs w:val="32"/>
    </w:rPr>
  </w:style>
  <w:style w:type="paragraph" w:styleId="4">
    <w:name w:val="heading 2"/>
    <w:basedOn w:val="1"/>
    <w:next w:val="1"/>
    <w:qFormat/>
    <w:uiPriority w:val="0"/>
    <w:pPr>
      <w:keepNext/>
      <w:keepLines/>
      <w:ind w:firstLine="0" w:firstLineChars="0"/>
      <w:jc w:val="center"/>
      <w:outlineLvl w:val="1"/>
    </w:pPr>
    <w:rPr>
      <w:rFonts w:ascii="Arial" w:hAnsi="Arial"/>
      <w:b/>
      <w:bCs/>
      <w:sz w:val="30"/>
      <w:szCs w:val="32"/>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spacing w:line="240" w:lineRule="auto"/>
      <w:ind w:firstLine="420"/>
      <w:jc w:val="both"/>
    </w:pPr>
    <w:rPr>
      <w:rFonts w:eastAsia="仿宋_GB2312"/>
      <w:snapToGrid w:val="0"/>
      <w:sz w:val="32"/>
      <w:szCs w:val="20"/>
    </w:rPr>
  </w:style>
  <w:style w:type="paragraph" w:styleId="5">
    <w:name w:val="Document Map"/>
    <w:basedOn w:val="1"/>
    <w:link w:val="21"/>
    <w:qFormat/>
    <w:uiPriority w:val="0"/>
    <w:rPr>
      <w:rFonts w:ascii="宋体" w:eastAsia="宋体"/>
      <w:sz w:val="18"/>
      <w:szCs w:val="18"/>
    </w:rPr>
  </w:style>
  <w:style w:type="paragraph" w:styleId="6">
    <w:name w:val="annotation text"/>
    <w:basedOn w:val="1"/>
    <w:qFormat/>
    <w:uiPriority w:val="0"/>
  </w:style>
  <w:style w:type="paragraph" w:styleId="7">
    <w:name w:val="Body Text"/>
    <w:basedOn w:val="1"/>
    <w:qFormat/>
    <w:uiPriority w:val="1"/>
    <w:pPr>
      <w:ind w:left="108" w:firstLine="638"/>
    </w:pPr>
    <w:rPr>
      <w:rFonts w:ascii="宋体" w:hAnsi="宋体" w:cs="宋体"/>
      <w:sz w:val="32"/>
      <w:szCs w:val="32"/>
      <w:lang w:val="zh-CN" w:bidi="zh-CN"/>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widowControl/>
      <w:spacing w:beforeAutospacing="1" w:afterAutospacing="1"/>
    </w:pPr>
    <w:rPr>
      <w:rFonts w:ascii="宋体" w:hAnsi="宋体"/>
      <w:kern w:val="0"/>
      <w:sz w:val="24"/>
    </w:rPr>
  </w:style>
  <w:style w:type="paragraph" w:styleId="14">
    <w:name w:val="Title"/>
    <w:basedOn w:val="1"/>
    <w:next w:val="1"/>
    <w:qFormat/>
    <w:uiPriority w:val="0"/>
    <w:pPr>
      <w:ind w:firstLine="0" w:firstLineChars="0"/>
      <w:jc w:val="center"/>
      <w:outlineLvl w:val="0"/>
    </w:pPr>
    <w:rPr>
      <w:rFonts w:ascii="Cambria" w:hAnsi="Cambria"/>
      <w:b/>
      <w:bCs/>
      <w:sz w:val="36"/>
      <w:szCs w:val="32"/>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annotation reference"/>
    <w:basedOn w:val="17"/>
    <w:qFormat/>
    <w:uiPriority w:val="0"/>
    <w:rPr>
      <w:sz w:val="21"/>
      <w:szCs w:val="21"/>
    </w:rPr>
  </w:style>
  <w:style w:type="character" w:customStyle="1" w:styleId="20">
    <w:name w:val="16"/>
    <w:basedOn w:val="17"/>
    <w:qFormat/>
    <w:uiPriority w:val="0"/>
    <w:rPr>
      <w:rFonts w:hint="default" w:ascii="Times New Roman" w:hAnsi="Times New Roman" w:cs="Times New Roman"/>
      <w:b/>
      <w:bCs/>
    </w:rPr>
  </w:style>
  <w:style w:type="character" w:customStyle="1" w:styleId="21">
    <w:name w:val="文档结构图 Char"/>
    <w:basedOn w:val="17"/>
    <w:link w:val="5"/>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45</Pages>
  <Words>17162</Words>
  <Characters>6846</Characters>
  <Lines>57</Lines>
  <Paragraphs>47</Paragraphs>
  <TotalTime>7</TotalTime>
  <ScaleCrop>false</ScaleCrop>
  <LinksUpToDate>false</LinksUpToDate>
  <CharactersWithSpaces>23961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2020-05-26T08:43:00Z</dcterms:created>
  <dc:creator>涛声</dc:creator>
  <cp:lastModifiedBy>金盾</cp:lastModifiedBy>
  <cp:lastPrinted>2020-07-03T01:38:00Z</cp:lastPrinted>
  <dcterms:modified xsi:type="dcterms:W3CDTF">2021-08-11T01:28:27Z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F5ABC195C95C422CA738A8DD3E9710EF</vt:lpwstr>
  </property>
</Properties>
</file>