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B41D5">
              <w:t> </w:t>
            </w:r>
            <w:r w:rsidR="00AB41D5">
              <w:t> </w:t>
            </w:r>
            <w:r w:rsidR="00AB41D5">
              <w:t> </w:t>
            </w:r>
            <w:r w:rsidR="00AB41D5">
              <w:t> </w:t>
            </w:r>
            <w:r w:rsidR="00AB41D5">
              <w:t> </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5132FC" w:rsidRPr="001A4CF3">
        <w:rPr>
          <w:rFonts w:ascii="黑体" w:eastAsia="黑体"/>
          <w:b w:val="0"/>
          <w:w w:val="100"/>
          <w:sz w:val="48"/>
        </w:rPr>
      </w:r>
      <w:r w:rsidRPr="001A4CF3">
        <w:rPr>
          <w:rFonts w:ascii="黑体" w:eastAsia="黑体"/>
          <w:b w:val="0"/>
          <w:w w:val="100"/>
          <w:sz w:val="48"/>
        </w:rPr>
        <w:fldChar w:fldCharType="separate"/>
      </w:r>
      <w:r w:rsidR="005132FC">
        <w:rPr>
          <w:rFonts w:ascii="黑体" w:eastAsia="黑体" w:hint="eastAsia"/>
          <w:b w:val="0"/>
          <w:w w:val="100"/>
          <w:sz w:val="48"/>
        </w:rPr>
        <w:t>巴彦</w:t>
      </w:r>
      <w:proofErr w:type="gramStart"/>
      <w:r w:rsidR="005132FC">
        <w:rPr>
          <w:rFonts w:ascii="黑体" w:eastAsia="黑体" w:hint="eastAsia"/>
          <w:b w:val="0"/>
          <w:w w:val="100"/>
          <w:sz w:val="48"/>
        </w:rPr>
        <w:t>淖尔市</w:t>
      </w:r>
      <w:proofErr w:type="gramEnd"/>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3DA8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132FC">
        <w:t>春小麦麦后复种紫花苜蓿栽培技术规程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005132FC" w:rsidRPr="00D3660F">
        <w:rPr>
          <w:rFonts w:ascii="黑体" w:eastAsia="黑体" w:hAnsi="黑体"/>
          <w:noProof/>
          <w:szCs w:val="28"/>
        </w:rPr>
      </w:r>
      <w:r w:rsidRPr="00D3660F">
        <w:rPr>
          <w:rFonts w:ascii="黑体" w:eastAsia="黑体" w:hAnsi="黑体"/>
          <w:noProof/>
          <w:szCs w:val="28"/>
        </w:rPr>
        <w:fldChar w:fldCharType="separate"/>
      </w:r>
      <w:r w:rsidR="005132FC" w:rsidRPr="005132FC">
        <w:rPr>
          <w:rFonts w:ascii="黑体" w:eastAsia="黑体" w:hAnsi="黑体"/>
          <w:noProof/>
          <w:szCs w:val="28"/>
        </w:rPr>
        <w:t>Technical regulations for the cultivation of alfalfa after wheat replanting in spring wheat</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132FC">
        <w:rPr>
          <w:noProof/>
          <w:sz w:val="24"/>
          <w:szCs w:val="28"/>
        </w:rPr>
      </w:r>
      <w:r w:rsidR="00061E3E">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5132FC">
        <w:rPr>
          <w:noProof/>
          <w:sz w:val="21"/>
          <w:szCs w:val="28"/>
        </w:rPr>
      </w:r>
      <w:r>
        <w:rPr>
          <w:noProof/>
          <w:sz w:val="21"/>
          <w:szCs w:val="28"/>
        </w:rPr>
        <w:fldChar w:fldCharType="separate"/>
      </w:r>
      <w:r w:rsidR="005132FC">
        <w:rPr>
          <w:noProof/>
          <w:sz w:val="21"/>
          <w:szCs w:val="28"/>
        </w:rPr>
        <w:t> </w:t>
      </w:r>
      <w:r w:rsidR="005132FC">
        <w:rPr>
          <w:noProof/>
          <w:sz w:val="21"/>
          <w:szCs w:val="28"/>
        </w:rPr>
        <w:t> </w:t>
      </w:r>
      <w:r w:rsidR="005132FC">
        <w:rPr>
          <w:noProof/>
          <w:sz w:val="21"/>
          <w:szCs w:val="28"/>
        </w:rPr>
        <w:t> </w:t>
      </w:r>
      <w:r w:rsidR="005132FC">
        <w:rPr>
          <w:noProof/>
          <w:sz w:val="21"/>
          <w:szCs w:val="28"/>
        </w:rPr>
        <w:t> </w:t>
      </w:r>
      <w:r w:rsidR="005132FC">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61E3E">
        <w:rPr>
          <w:b/>
          <w:noProof/>
          <w:sz w:val="21"/>
          <w:szCs w:val="28"/>
        </w:rPr>
      </w:r>
      <w:r w:rsidR="00061E3E">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DA88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rsidR="005132FC" w:rsidRDefault="005132FC" w:rsidP="005132FC">
      <w:pPr>
        <w:pStyle w:val="a6"/>
        <w:spacing w:before="900" w:after="468"/>
      </w:pPr>
      <w:bookmarkStart w:id="21" w:name="BookMark2"/>
      <w:r w:rsidRPr="005132FC">
        <w:rPr>
          <w:spacing w:val="320"/>
        </w:rPr>
        <w:lastRenderedPageBreak/>
        <w:t>前</w:t>
      </w:r>
      <w:r>
        <w:t>言</w:t>
      </w:r>
    </w:p>
    <w:p w:rsidR="005132FC" w:rsidRDefault="005132FC" w:rsidP="005132FC">
      <w:pPr>
        <w:pStyle w:val="affffb"/>
        <w:ind w:firstLine="420"/>
        <w:rPr>
          <w:rFonts w:hint="eastAsia"/>
        </w:rPr>
      </w:pPr>
      <w:r>
        <w:rPr>
          <w:rFonts w:hint="eastAsia"/>
        </w:rPr>
        <w:t>本文件按照GB/T 1.1—2020《标准化工作导则  第1部分：标准化文件的结构和起草规则》的规定起草。</w:t>
      </w:r>
    </w:p>
    <w:p w:rsidR="005132FC" w:rsidRDefault="005132FC" w:rsidP="005132FC">
      <w:pPr>
        <w:pStyle w:val="affffb"/>
        <w:ind w:firstLine="420"/>
        <w:rPr>
          <w:rFonts w:hint="eastAsia"/>
        </w:rPr>
      </w:pPr>
      <w:r>
        <w:rPr>
          <w:rFonts w:hint="eastAsia"/>
        </w:rPr>
        <w:t>本文件由巴彦淖尔市现代农牧事业发展中心提出。</w:t>
      </w:r>
    </w:p>
    <w:p w:rsidR="005132FC" w:rsidRDefault="005132FC" w:rsidP="005132FC">
      <w:pPr>
        <w:pStyle w:val="affffb"/>
        <w:ind w:firstLine="420"/>
        <w:rPr>
          <w:rFonts w:hint="eastAsia"/>
        </w:rPr>
      </w:pPr>
      <w:r>
        <w:rPr>
          <w:rFonts w:hint="eastAsia"/>
        </w:rPr>
        <w:t>本文件由巴彦淖尔农牧局归口。</w:t>
      </w:r>
    </w:p>
    <w:p w:rsidR="005132FC" w:rsidRDefault="005132FC" w:rsidP="005132FC">
      <w:pPr>
        <w:pStyle w:val="affffb"/>
        <w:ind w:firstLine="420"/>
        <w:rPr>
          <w:rFonts w:hint="eastAsia"/>
        </w:rPr>
      </w:pPr>
      <w:r>
        <w:rPr>
          <w:rFonts w:hint="eastAsia"/>
        </w:rPr>
        <w:t>本文件起草单位：巴彦淖尔市现代农牧事业发展中心。</w:t>
      </w:r>
    </w:p>
    <w:p w:rsidR="005132FC" w:rsidRDefault="005132FC" w:rsidP="005132FC">
      <w:pPr>
        <w:pStyle w:val="affffb"/>
        <w:ind w:firstLine="420"/>
        <w:rPr>
          <w:rFonts w:hint="eastAsia"/>
        </w:rPr>
      </w:pPr>
      <w:r>
        <w:rPr>
          <w:rFonts w:hint="eastAsia"/>
        </w:rPr>
        <w:t>本文件主要起草人：</w:t>
      </w:r>
    </w:p>
    <w:p w:rsidR="005132FC" w:rsidRDefault="005132FC" w:rsidP="005132FC">
      <w:pPr>
        <w:pStyle w:val="affffb"/>
        <w:ind w:firstLine="420"/>
      </w:pPr>
    </w:p>
    <w:p w:rsidR="005132FC" w:rsidRPr="005132FC" w:rsidRDefault="005132FC" w:rsidP="005132FC">
      <w:pPr>
        <w:pStyle w:val="affffb"/>
        <w:ind w:firstLine="420"/>
        <w:sectPr w:rsidR="005132FC" w:rsidRPr="005132FC" w:rsidSect="005132FC">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E5EE9FB052A40BC871F0A03EF2ABEAC"/>
        </w:placeholder>
      </w:sdtPr>
      <w:sdtEndPr/>
      <w:sdtContent>
        <w:bookmarkStart w:id="23" w:name="NEW_STAND_NAME" w:displacedByCustomXml="prev"/>
        <w:p w:rsidR="00F26B7E" w:rsidRPr="00F26B7E" w:rsidRDefault="005132FC" w:rsidP="005132FC">
          <w:pPr>
            <w:pStyle w:val="afffffffff8"/>
            <w:spacing w:beforeLines="1" w:before="3" w:afterLines="220" w:after="686"/>
          </w:pPr>
          <w:proofErr w:type="gramStart"/>
          <w:r>
            <w:rPr>
              <w:rFonts w:hint="eastAsia"/>
            </w:rPr>
            <w:t>春小麦麦后复种</w:t>
          </w:r>
          <w:proofErr w:type="gramEnd"/>
          <w:r>
            <w:rPr>
              <w:rFonts w:hint="eastAsia"/>
            </w:rPr>
            <w:t>紫花苜蓿栽培技术规程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8B0C9C" w:rsidRPr="005132FC" w:rsidRDefault="005132FC" w:rsidP="005132FC">
      <w:pPr>
        <w:pStyle w:val="affffb"/>
        <w:ind w:firstLine="420"/>
        <w:rPr>
          <w:rFonts w:hint="eastAsia"/>
          <w:kern w:val="2"/>
          <w:szCs w:val="21"/>
        </w:rPr>
      </w:pPr>
      <w:bookmarkStart w:id="33" w:name="_Toc17233326"/>
      <w:bookmarkStart w:id="34" w:name="_Toc17233334"/>
      <w:bookmarkStart w:id="35" w:name="_Toc24884212"/>
      <w:bookmarkStart w:id="36" w:name="_Toc24884219"/>
      <w:bookmarkStart w:id="37" w:name="_Toc26648466"/>
      <w:r>
        <w:rPr>
          <w:rFonts w:hint="eastAsia"/>
        </w:rPr>
        <w:t>本标准规定了春小麦麦后复种紫花苜蓿栽培技术的术语和定义、产地环境、播前准备、栽培技术和收获等内容。</w:t>
      </w:r>
    </w:p>
    <w:p w:rsidR="005132FC" w:rsidRPr="005132FC" w:rsidRDefault="00E2552F" w:rsidP="005132FC">
      <w:pPr>
        <w:pStyle w:val="affffb"/>
        <w:ind w:firstLine="420"/>
      </w:pPr>
      <w:bookmarkStart w:id="38" w:name="_Toc26718931"/>
      <w:bookmarkStart w:id="39" w:name="_Toc26986531"/>
      <w:bookmarkStart w:id="40" w:name="_Toc26986772"/>
      <w:bookmarkStart w:id="41" w:name="_Toc97191424"/>
      <w:r>
        <w:rPr>
          <w:rFonts w:hint="eastAsia"/>
        </w:rPr>
        <w:t>规</w:t>
      </w:r>
      <w:r w:rsidR="005132FC" w:rsidRPr="005132FC">
        <w:rPr>
          <w:rFonts w:hint="eastAsia"/>
        </w:rPr>
        <w:t>本文件适用于巴彦淖尔市河套灌区春小麦麦后复种紫花苜蓿的栽培，其他种植区域可参照执行。</w:t>
      </w:r>
    </w:p>
    <w:p w:rsidR="00E2552F" w:rsidRDefault="00E2552F" w:rsidP="00A77CCB">
      <w:pPr>
        <w:pStyle w:val="affc"/>
        <w:spacing w:before="312" w:after="312"/>
      </w:pPr>
      <w:r>
        <w:rPr>
          <w:rFonts w:hint="eastAsia"/>
        </w:rPr>
        <w:t>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7CAA4FE19C094FDDBFE051F96F0AD06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132FC" w:rsidRPr="005132FC" w:rsidRDefault="005132FC" w:rsidP="005132FC">
      <w:pPr>
        <w:pStyle w:val="affffb"/>
        <w:ind w:firstLine="420"/>
        <w:rPr>
          <w:color w:val="000000"/>
        </w:rPr>
      </w:pPr>
      <w:r w:rsidRPr="005132FC">
        <w:rPr>
          <w:rFonts w:hint="eastAsia"/>
        </w:rPr>
        <w:t>GB 6141 豆科草种子质量分级</w:t>
      </w:r>
    </w:p>
    <w:p w:rsidR="005132FC" w:rsidRPr="005132FC" w:rsidRDefault="005132FC" w:rsidP="005132FC">
      <w:pPr>
        <w:pStyle w:val="affffb"/>
        <w:ind w:firstLine="420"/>
        <w:rPr>
          <w:rFonts w:hint="eastAsia"/>
          <w:color w:val="000000"/>
        </w:rPr>
      </w:pPr>
      <w:r w:rsidRPr="005132FC">
        <w:rPr>
          <w:rFonts w:hint="eastAsia"/>
        </w:rPr>
        <w:t xml:space="preserve">GB 15618 </w:t>
      </w:r>
      <w:r w:rsidRPr="005132FC">
        <w:rPr>
          <w:rFonts w:ascii="微软雅黑" w:eastAsia="微软雅黑" w:hAnsi="微软雅黑" w:hint="eastAsia"/>
          <w:b/>
          <w:bCs/>
          <w:color w:val="444444"/>
          <w:sz w:val="24"/>
          <w:szCs w:val="24"/>
          <w:shd w:val="clear" w:color="auto" w:fill="FFFFFF"/>
        </w:rPr>
        <w:t xml:space="preserve"> </w:t>
      </w:r>
      <w:r w:rsidRPr="005132FC">
        <w:rPr>
          <w:rFonts w:hint="eastAsia"/>
          <w:color w:val="000000"/>
        </w:rPr>
        <w:t>土壤环境质量农用地土壤污染风险管控标准（试行）</w:t>
      </w:r>
    </w:p>
    <w:p w:rsidR="005132FC" w:rsidRPr="005132FC" w:rsidRDefault="005132FC" w:rsidP="005132FC">
      <w:pPr>
        <w:pStyle w:val="affffb"/>
        <w:ind w:firstLine="420"/>
        <w:rPr>
          <w:rFonts w:hint="eastAsia"/>
          <w:color w:val="000000"/>
        </w:rPr>
      </w:pPr>
      <w:r w:rsidRPr="005132FC">
        <w:rPr>
          <w:rFonts w:hint="eastAsia"/>
          <w:color w:val="000000"/>
        </w:rPr>
        <w:t>DB15/T 3586 黄河灌溉区高标准农田盐碱地改良效果综合评价方法</w:t>
      </w:r>
    </w:p>
    <w:p w:rsidR="005132FC" w:rsidRPr="005132FC" w:rsidRDefault="005132FC" w:rsidP="005132FC">
      <w:pPr>
        <w:pStyle w:val="affffb"/>
        <w:ind w:firstLine="420"/>
        <w:rPr>
          <w:rFonts w:hint="eastAsia"/>
        </w:rPr>
      </w:pPr>
      <w:r w:rsidRPr="005132FC">
        <w:rPr>
          <w:rFonts w:hint="eastAsia"/>
        </w:rPr>
        <w:t>NY/T 1342 人工草地建设技术规程</w:t>
      </w:r>
    </w:p>
    <w:p w:rsidR="005132FC" w:rsidRPr="005132FC" w:rsidRDefault="005132FC" w:rsidP="005132FC">
      <w:pPr>
        <w:pStyle w:val="affffb"/>
        <w:ind w:firstLine="420"/>
        <w:rPr>
          <w:rFonts w:hint="eastAsia"/>
          <w:color w:val="000000"/>
        </w:rPr>
      </w:pPr>
      <w:r w:rsidRPr="005132FC">
        <w:rPr>
          <w:rFonts w:hint="eastAsia"/>
          <w:color w:val="000000"/>
        </w:rPr>
        <w:t>NY/T 1118 测土配方施肥技术规范</w:t>
      </w:r>
    </w:p>
    <w:p w:rsidR="005132FC" w:rsidRPr="005132FC" w:rsidRDefault="005132FC" w:rsidP="005132FC">
      <w:pPr>
        <w:pStyle w:val="affffb"/>
        <w:ind w:firstLine="420"/>
        <w:rPr>
          <w:rFonts w:ascii="仿宋_GB2312" w:hint="eastAsia"/>
          <w:sz w:val="28"/>
          <w:szCs w:val="28"/>
        </w:rPr>
      </w:pPr>
      <w:r w:rsidRPr="005132FC">
        <w:rPr>
          <w:rFonts w:hint="eastAsia"/>
        </w:rPr>
        <w:t>GB 5084 农田灌溉水质标准</w:t>
      </w:r>
    </w:p>
    <w:p w:rsidR="005132FC" w:rsidRPr="005132FC" w:rsidRDefault="005132FC" w:rsidP="005132FC">
      <w:pPr>
        <w:pStyle w:val="affffb"/>
        <w:ind w:firstLine="420"/>
      </w:pPr>
      <w:r w:rsidRPr="005132FC">
        <w:rPr>
          <w:rFonts w:hint="eastAsia"/>
          <w:color w:val="000000"/>
        </w:rPr>
        <w:t>GB/T 8321 农药合理使用准则</w:t>
      </w:r>
    </w:p>
    <w:p w:rsidR="005132FC" w:rsidRPr="005132FC" w:rsidRDefault="005132FC" w:rsidP="005132FC">
      <w:pPr>
        <w:pStyle w:val="affffb"/>
        <w:ind w:firstLine="420"/>
        <w:rPr>
          <w:rFonts w:eastAsia="仿宋_GB2312" w:cs="宋体" w:hint="eastAsia"/>
          <w:color w:val="000000"/>
        </w:rPr>
      </w:pPr>
      <w:r w:rsidRPr="005132FC">
        <w:rPr>
          <w:rFonts w:hint="eastAsia"/>
        </w:rPr>
        <w:t>NY/T 496 肥料合理使用准则 通则</w:t>
      </w:r>
    </w:p>
    <w:p w:rsidR="005132FC" w:rsidRPr="005132FC" w:rsidRDefault="005132FC" w:rsidP="005132FC">
      <w:pPr>
        <w:pStyle w:val="affffb"/>
        <w:ind w:firstLine="420"/>
        <w:rPr>
          <w:rFonts w:hint="eastAsia"/>
          <w:color w:val="000000"/>
        </w:rPr>
      </w:pPr>
      <w:r w:rsidRPr="005132FC">
        <w:rPr>
          <w:rFonts w:hint="eastAsia"/>
          <w:color w:val="000000"/>
        </w:rPr>
        <w:t>NY/T 2701 人工草地杂草防除技术规范 紫花苜蓿</w:t>
      </w:r>
    </w:p>
    <w:p w:rsidR="005132FC" w:rsidRPr="005132FC" w:rsidRDefault="005132FC" w:rsidP="005132FC">
      <w:pPr>
        <w:pStyle w:val="affffb"/>
        <w:ind w:firstLine="420"/>
        <w:rPr>
          <w:rFonts w:hint="eastAsia"/>
          <w:color w:val="000000"/>
        </w:rPr>
      </w:pPr>
      <w:r w:rsidRPr="005132FC">
        <w:rPr>
          <w:rFonts w:hint="eastAsia"/>
          <w:color w:val="000000"/>
        </w:rPr>
        <w:t>NY/T 2702 紫花苜蓿主要病害防治技术规程</w:t>
      </w:r>
    </w:p>
    <w:p w:rsidR="00AA6EC9" w:rsidRPr="008A57E6" w:rsidRDefault="005132FC" w:rsidP="005132FC">
      <w:pPr>
        <w:pStyle w:val="affffb"/>
        <w:ind w:firstLine="420"/>
        <w:rPr>
          <w:rFonts w:hint="eastAsia"/>
        </w:rPr>
      </w:pPr>
      <w:r w:rsidRPr="005132FC">
        <w:rPr>
          <w:rFonts w:hint="eastAsia"/>
          <w:color w:val="000000"/>
        </w:rPr>
        <w:t>NY/T 2994 苜蓿草田主要虫害防治技术规程</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7C2445097DD944A4B82878AA417D5BE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5132FC" w:rsidP="00BA263B">
          <w:pPr>
            <w:pStyle w:val="affffb"/>
            <w:ind w:firstLine="420"/>
          </w:pPr>
          <w:r>
            <w:t>下列术语和定义适用于本文件。</w:t>
          </w:r>
        </w:p>
      </w:sdtContent>
    </w:sdt>
    <w:p w:rsidR="004B3E93" w:rsidRDefault="004B3E93" w:rsidP="005132FC">
      <w:pPr>
        <w:pStyle w:val="affd"/>
        <w:spacing w:before="156" w:after="156"/>
      </w:pPr>
    </w:p>
    <w:p w:rsidR="005132FC" w:rsidRPr="005132FC" w:rsidRDefault="005132FC" w:rsidP="005132FC">
      <w:pPr>
        <w:pStyle w:val="affffb"/>
        <w:ind w:firstLine="422"/>
        <w:rPr>
          <w:rFonts w:ascii="仿宋_GB2312" w:hAnsi="仿宋_GB2312"/>
          <w:b/>
          <w:bCs/>
        </w:rPr>
      </w:pPr>
      <w:r w:rsidRPr="005132FC">
        <w:rPr>
          <w:rFonts w:hint="eastAsia"/>
          <w:b/>
          <w:bCs/>
        </w:rPr>
        <w:t>苜蓿秋眠级</w:t>
      </w:r>
      <w:r w:rsidRPr="005132FC">
        <w:rPr>
          <w:rFonts w:ascii="仿宋_GB2312" w:hAnsi="仿宋_GB2312"/>
          <w:b/>
          <w:bCs/>
        </w:rPr>
        <w:t xml:space="preserve"> </w:t>
      </w:r>
      <w:r w:rsidRPr="005132FC">
        <w:rPr>
          <w:rFonts w:hint="eastAsia"/>
          <w:b/>
          <w:bCs/>
        </w:rPr>
        <w:t xml:space="preserve">Alfalfa Fall Dormancy </w:t>
      </w:r>
    </w:p>
    <w:p w:rsidR="005132FC" w:rsidRDefault="005132FC" w:rsidP="005132FC">
      <w:pPr>
        <w:pStyle w:val="affffb"/>
        <w:ind w:firstLine="420"/>
      </w:pPr>
      <w:r>
        <w:rPr>
          <w:rFonts w:hint="eastAsia"/>
        </w:rPr>
        <w:t>苜蓿的秋眠性实际上是苜蓿生长习性的差异，即在秋季北纬地区由千光照减少和气温下降，引起的生理休眠，使苜蓿形态类型和生产能力发生的变化，植株由下向上转向佣匐生长，导致总产量减小的生长特性。</w:t>
      </w:r>
    </w:p>
    <w:p w:rsidR="005132FC" w:rsidRPr="005132FC" w:rsidRDefault="005132FC" w:rsidP="005132FC">
      <w:pPr>
        <w:pStyle w:val="affffb"/>
        <w:ind w:firstLine="360"/>
        <w:rPr>
          <w:rFonts w:hint="eastAsia"/>
          <w:sz w:val="18"/>
          <w:szCs w:val="18"/>
        </w:rPr>
      </w:pPr>
      <w:r w:rsidRPr="005132FC">
        <w:rPr>
          <w:rFonts w:hint="eastAsia"/>
          <w:sz w:val="18"/>
          <w:szCs w:val="18"/>
        </w:rPr>
        <w:t>注：常用的苜蓿秋眠等级体系包括11级，1、2、3级属秋眠型，4、5、6级属半秋眠型，而7、8、9级属非秋眠型，10、11级属极非秋眠型。 通常品种秋眠等级越高，其再生性越强。</w:t>
      </w:r>
    </w:p>
    <w:p w:rsidR="002A1260" w:rsidRDefault="00FE6D13" w:rsidP="00FE6D13">
      <w:pPr>
        <w:pStyle w:val="affc"/>
        <w:spacing w:before="312" w:after="312"/>
      </w:pPr>
      <w:r>
        <w:rPr>
          <w:rFonts w:hint="eastAsia"/>
        </w:rPr>
        <w:t>产地环境</w:t>
      </w:r>
    </w:p>
    <w:p w:rsidR="00FE6D13" w:rsidRDefault="00FE6D13" w:rsidP="00FE6D13">
      <w:pPr>
        <w:pStyle w:val="affffb"/>
        <w:ind w:firstLine="420"/>
      </w:pPr>
      <w:r>
        <w:rPr>
          <w:rFonts w:hint="eastAsia"/>
        </w:rPr>
        <w:t>≥10 ℃年活动积温2800 ℃以上，全年日照3000 h以上，无霜期120 d以上，降水量60 mm～300 mm地区。</w:t>
      </w:r>
    </w:p>
    <w:p w:rsidR="00FE6D13" w:rsidRDefault="00FE6D13" w:rsidP="00FE6D13">
      <w:pPr>
        <w:pStyle w:val="affc"/>
        <w:spacing w:before="312" w:after="312"/>
      </w:pPr>
      <w:r>
        <w:rPr>
          <w:rFonts w:hint="eastAsia"/>
        </w:rPr>
        <w:lastRenderedPageBreak/>
        <w:t>播前准备</w:t>
      </w:r>
    </w:p>
    <w:p w:rsidR="00FE6D13" w:rsidRDefault="00FE6D13" w:rsidP="00FE6D13">
      <w:pPr>
        <w:pStyle w:val="affd"/>
        <w:spacing w:before="156" w:after="156"/>
      </w:pPr>
      <w:r>
        <w:rPr>
          <w:rFonts w:hint="eastAsia"/>
        </w:rPr>
        <w:t>种子选择与质量</w:t>
      </w:r>
    </w:p>
    <w:p w:rsidR="00FE6D13" w:rsidRDefault="00FE6D13" w:rsidP="00FE6D13">
      <w:pPr>
        <w:pStyle w:val="affe"/>
        <w:spacing w:before="156" w:after="156"/>
      </w:pPr>
      <w:r>
        <w:rPr>
          <w:rFonts w:hint="eastAsia"/>
        </w:rPr>
        <w:t>品种选择</w:t>
      </w:r>
    </w:p>
    <w:p w:rsidR="00FE6D13" w:rsidRPr="00FE6D13" w:rsidRDefault="00FE6D13" w:rsidP="00FE6D13">
      <w:pPr>
        <w:pStyle w:val="affffb"/>
        <w:ind w:firstLine="420"/>
        <w:rPr>
          <w:rFonts w:ascii="Times New Roman"/>
        </w:rPr>
      </w:pPr>
      <w:r w:rsidRPr="00FE6D13">
        <w:rPr>
          <w:rFonts w:hint="eastAsia"/>
        </w:rPr>
        <w:t>因地选用适宜本地区种植优质、高产苜蓿品种。单年生种植可选择秋眠级</w:t>
      </w:r>
      <w:r w:rsidRPr="00FE6D13">
        <w:rPr>
          <w:rFonts w:ascii="Times New Roman" w:hint="eastAsia"/>
        </w:rPr>
        <w:t>8</w:t>
      </w:r>
      <w:r w:rsidRPr="00FE6D13">
        <w:rPr>
          <w:rFonts w:hint="eastAsia"/>
        </w:rPr>
        <w:t>～</w:t>
      </w:r>
      <w:r w:rsidRPr="00FE6D13">
        <w:rPr>
          <w:rFonts w:ascii="Times New Roman" w:hint="eastAsia"/>
        </w:rPr>
        <w:t>9</w:t>
      </w:r>
      <w:r w:rsidRPr="00FE6D13">
        <w:rPr>
          <w:rFonts w:hint="eastAsia"/>
        </w:rPr>
        <w:t>级品种，多年生可选择秋眠级</w:t>
      </w:r>
      <w:r w:rsidRPr="00FE6D13">
        <w:rPr>
          <w:rFonts w:ascii="Times New Roman" w:hint="eastAsia"/>
        </w:rPr>
        <w:t>3</w:t>
      </w:r>
      <w:r w:rsidRPr="00FE6D13">
        <w:rPr>
          <w:rFonts w:hint="eastAsia"/>
        </w:rPr>
        <w:t>～</w:t>
      </w:r>
      <w:r w:rsidRPr="00FE6D13">
        <w:rPr>
          <w:rFonts w:ascii="Times New Roman" w:hint="eastAsia"/>
        </w:rPr>
        <w:t>4</w:t>
      </w:r>
      <w:r w:rsidRPr="00FE6D13">
        <w:rPr>
          <w:rFonts w:hint="eastAsia"/>
        </w:rPr>
        <w:t>级品种。</w:t>
      </w:r>
    </w:p>
    <w:p w:rsidR="00FE6D13" w:rsidRPr="00FE6D13" w:rsidRDefault="00FE6D13" w:rsidP="00FE6D13">
      <w:pPr>
        <w:pStyle w:val="affe"/>
        <w:spacing w:before="156" w:after="156"/>
        <w:rPr>
          <w:rFonts w:hint="eastAsia"/>
        </w:rPr>
      </w:pPr>
      <w:r>
        <w:rPr>
          <w:rFonts w:hint="eastAsia"/>
        </w:rPr>
        <w:t>种子质量</w:t>
      </w:r>
    </w:p>
    <w:p w:rsidR="00FE6D13" w:rsidRDefault="00FE6D13" w:rsidP="00FE6D13">
      <w:pPr>
        <w:pStyle w:val="affffb"/>
        <w:ind w:firstLine="420"/>
      </w:pPr>
      <w:r w:rsidRPr="00FE6D13">
        <w:rPr>
          <w:rFonts w:hint="eastAsia"/>
        </w:rPr>
        <w:t>苜蓿种子质量应选用符合GB6141规定的二级（含二级）以上的种子；也可选用符合《草种管理办法》规定的获国家审批进口的苜蓿品种。</w:t>
      </w:r>
    </w:p>
    <w:p w:rsidR="00FE6D13" w:rsidRDefault="00FE6D13" w:rsidP="00FE6D13">
      <w:pPr>
        <w:pStyle w:val="affd"/>
        <w:spacing w:before="156" w:after="156"/>
      </w:pPr>
      <w:r>
        <w:rPr>
          <w:rFonts w:hint="eastAsia"/>
        </w:rPr>
        <w:t>选地与整地施肥</w:t>
      </w:r>
    </w:p>
    <w:p w:rsidR="00FE6D13" w:rsidRPr="00FE6D13" w:rsidRDefault="00FE6D13" w:rsidP="00FE6D13">
      <w:pPr>
        <w:pStyle w:val="affe"/>
        <w:spacing w:before="156" w:after="156"/>
        <w:rPr>
          <w:rFonts w:hint="eastAsia"/>
        </w:rPr>
      </w:pPr>
      <w:r>
        <w:rPr>
          <w:rFonts w:hint="eastAsia"/>
        </w:rPr>
        <w:t>选地</w:t>
      </w:r>
    </w:p>
    <w:p w:rsidR="00FE6D13" w:rsidRDefault="00FE6D13" w:rsidP="00FE6D13">
      <w:pPr>
        <w:pStyle w:val="affffb"/>
        <w:ind w:firstLine="420"/>
      </w:pPr>
      <w:r w:rsidRPr="00FE6D13">
        <w:rPr>
          <w:rFonts w:hint="eastAsia"/>
        </w:rPr>
        <w:t>选择地势平坦，土层深厚，地力水平中等以上，有灌溉条件，</w:t>
      </w:r>
      <w:r w:rsidRPr="00FE6D13">
        <w:rPr>
          <w:rFonts w:ascii="Times New Roman" w:hint="eastAsia"/>
        </w:rPr>
        <w:t>pH</w:t>
      </w:r>
      <w:r w:rsidRPr="00FE6D13">
        <w:rPr>
          <w:rFonts w:hint="eastAsia"/>
        </w:rPr>
        <w:t>值小于</w:t>
      </w:r>
      <w:r w:rsidRPr="00FE6D13">
        <w:rPr>
          <w:rFonts w:ascii="Times New Roman" w:hint="eastAsia"/>
        </w:rPr>
        <w:t>9</w:t>
      </w:r>
      <w:r w:rsidRPr="00FE6D13">
        <w:rPr>
          <w:rFonts w:hint="eastAsia"/>
        </w:rPr>
        <w:t>、全盐含量小于</w:t>
      </w:r>
      <w:r w:rsidRPr="00FE6D13">
        <w:rPr>
          <w:rFonts w:ascii="Times New Roman" w:hint="eastAsia"/>
        </w:rPr>
        <w:t>3g/kg</w:t>
      </w:r>
      <w:r w:rsidRPr="00FE6D13">
        <w:rPr>
          <w:rFonts w:hint="eastAsia"/>
        </w:rPr>
        <w:t>的各类型土壤地块种植</w:t>
      </w:r>
      <w:r w:rsidRPr="00FE6D13">
        <w:rPr>
          <w:rFonts w:hint="eastAsia"/>
          <w:color w:val="000000"/>
        </w:rPr>
        <w:t>。土壤环境质量</w:t>
      </w:r>
      <w:r>
        <w:rPr>
          <w:rFonts w:hint="eastAsia"/>
          <w:color w:val="000000"/>
        </w:rPr>
        <w:t>应</w:t>
      </w:r>
      <w:r w:rsidRPr="00FE6D13">
        <w:rPr>
          <w:rFonts w:hint="eastAsia"/>
          <w:color w:val="000000"/>
        </w:rPr>
        <w:t>符合</w:t>
      </w:r>
      <w:r w:rsidRPr="00FE6D13">
        <w:rPr>
          <w:rFonts w:ascii="Times New Roman" w:hint="eastAsia"/>
        </w:rPr>
        <w:t>GB 15618</w:t>
      </w:r>
      <w:r w:rsidRPr="00FE6D13">
        <w:rPr>
          <w:rFonts w:hint="eastAsia"/>
        </w:rPr>
        <w:t>、</w:t>
      </w:r>
      <w:r w:rsidRPr="00FE6D13">
        <w:rPr>
          <w:rFonts w:hint="eastAsia"/>
          <w:color w:val="000000"/>
        </w:rPr>
        <w:t>DB15/T 3586</w:t>
      </w:r>
      <w:r w:rsidRPr="00FE6D13">
        <w:rPr>
          <w:rFonts w:hint="eastAsia"/>
        </w:rPr>
        <w:t>的规定。</w:t>
      </w:r>
    </w:p>
    <w:p w:rsidR="00FE6D13" w:rsidRPr="00FE6D13" w:rsidRDefault="00FE6D13" w:rsidP="00FE6D13">
      <w:pPr>
        <w:pStyle w:val="affe"/>
        <w:spacing w:before="156" w:after="156"/>
        <w:rPr>
          <w:rFonts w:hint="eastAsia"/>
        </w:rPr>
      </w:pPr>
      <w:r>
        <w:rPr>
          <w:rFonts w:hint="eastAsia"/>
        </w:rPr>
        <w:t>整地施肥</w:t>
      </w:r>
    </w:p>
    <w:p w:rsidR="00FE6D13" w:rsidRDefault="00FE6D13" w:rsidP="00FE6D13">
      <w:pPr>
        <w:pStyle w:val="affffb"/>
        <w:ind w:firstLine="420"/>
        <w:rPr>
          <w:szCs w:val="21"/>
        </w:rPr>
      </w:pPr>
      <w:r>
        <w:rPr>
          <w:rFonts w:hint="eastAsia"/>
        </w:rPr>
        <w:t>使用耙地机械进行耙地，耕深应在30 cm±5 cm，要求田面高度差＜5cm，适时镇压，达到土地细碎、紧实和平整。整地要求应符合</w:t>
      </w:r>
      <w:r>
        <w:rPr>
          <w:rFonts w:hint="eastAsia"/>
          <w:color w:val="000000"/>
        </w:rPr>
        <w:t>NY/T 1342的规定。</w:t>
      </w:r>
    </w:p>
    <w:p w:rsidR="00FE6D13" w:rsidRDefault="00FE6D13" w:rsidP="00FE6D13">
      <w:pPr>
        <w:pStyle w:val="affffb"/>
        <w:ind w:firstLine="420"/>
        <w:rPr>
          <w:rFonts w:hint="eastAsia"/>
          <w:color w:val="000000"/>
        </w:rPr>
      </w:pPr>
      <w:r>
        <w:rPr>
          <w:rFonts w:hint="eastAsia"/>
        </w:rPr>
        <w:t>利用种肥一体机施入种肥，施肥量按照</w:t>
      </w:r>
      <w:r>
        <w:rPr>
          <w:rFonts w:hint="eastAsia"/>
          <w:color w:val="000000"/>
        </w:rPr>
        <w:t>NY/T 1118的规定实施。</w:t>
      </w:r>
    </w:p>
    <w:p w:rsidR="00FE6D13" w:rsidRPr="00FE6D13" w:rsidRDefault="00FE6D13" w:rsidP="00FE6D13">
      <w:pPr>
        <w:pStyle w:val="affd"/>
        <w:spacing w:before="156" w:after="156"/>
        <w:rPr>
          <w:rFonts w:hint="eastAsia"/>
        </w:rPr>
      </w:pPr>
      <w:r>
        <w:rPr>
          <w:rFonts w:hint="eastAsia"/>
        </w:rPr>
        <w:t>灌好麦黄水</w:t>
      </w:r>
    </w:p>
    <w:p w:rsidR="00FE6D13" w:rsidRDefault="00FE6D13" w:rsidP="00FE6D13">
      <w:pPr>
        <w:pStyle w:val="affffb"/>
        <w:ind w:firstLine="420"/>
        <w:rPr>
          <w:color w:val="000000"/>
        </w:rPr>
      </w:pPr>
      <w:r w:rsidRPr="00FE6D13">
        <w:rPr>
          <w:rFonts w:hint="eastAsia"/>
        </w:rPr>
        <w:t>壤土地于小麦成熟收获前5 d～7 d视土壤墒情灌好麦黄水。沙壤地于麦收后及时灌水造墒，以确保播种时土壤有较好的墒情。农田灌溉用水质量应符合</w:t>
      </w:r>
      <w:r w:rsidRPr="00FE6D13">
        <w:rPr>
          <w:rFonts w:hint="eastAsia"/>
          <w:color w:val="000000"/>
        </w:rPr>
        <w:t>GB 5084的规定。</w:t>
      </w:r>
    </w:p>
    <w:p w:rsidR="00FE6D13" w:rsidRPr="00FE6D13" w:rsidRDefault="00FE6D13" w:rsidP="00FE6D13">
      <w:pPr>
        <w:pStyle w:val="affd"/>
        <w:spacing w:before="156" w:after="156"/>
        <w:rPr>
          <w:rFonts w:hint="eastAsia"/>
        </w:rPr>
      </w:pPr>
      <w:r>
        <w:rPr>
          <w:rFonts w:hint="eastAsia"/>
        </w:rPr>
        <w:t>播前除草</w:t>
      </w:r>
    </w:p>
    <w:p w:rsidR="00FE6D13" w:rsidRDefault="00FE6D13" w:rsidP="00FE6D13">
      <w:pPr>
        <w:pStyle w:val="affffb"/>
        <w:ind w:firstLine="420"/>
        <w:rPr>
          <w:color w:val="000000"/>
        </w:rPr>
      </w:pPr>
      <w:r w:rsidRPr="00FE6D13">
        <w:rPr>
          <w:rFonts w:hint="eastAsia"/>
        </w:rPr>
        <w:t>播前用48 %的地乐胺乳油200mL/667m</w:t>
      </w:r>
      <w:r w:rsidRPr="00FE6D13">
        <w:rPr>
          <w:rFonts w:hint="eastAsia"/>
          <w:vertAlign w:val="superscript"/>
        </w:rPr>
        <w:t>2</w:t>
      </w:r>
      <w:r w:rsidRPr="00FE6D13">
        <w:rPr>
          <w:rFonts w:hint="eastAsia"/>
        </w:rPr>
        <w:t>～250mL/667m</w:t>
      </w:r>
      <w:r w:rsidRPr="00FE6D13">
        <w:rPr>
          <w:rFonts w:hint="eastAsia"/>
          <w:vertAlign w:val="superscript"/>
        </w:rPr>
        <w:t>2</w:t>
      </w:r>
      <w:r w:rsidRPr="00FE6D13">
        <w:rPr>
          <w:rFonts w:hint="eastAsia"/>
        </w:rPr>
        <w:t>兑水600 L进行杂草封闭。农药使用符合按照</w:t>
      </w:r>
      <w:r w:rsidRPr="00FE6D13">
        <w:rPr>
          <w:rFonts w:hint="eastAsia"/>
          <w:color w:val="000000"/>
        </w:rPr>
        <w:t>GB/T 8321的规定。</w:t>
      </w:r>
    </w:p>
    <w:p w:rsidR="00FE6D13" w:rsidRPr="00FE6D13" w:rsidRDefault="00FE6D13" w:rsidP="00FE6D13">
      <w:pPr>
        <w:pStyle w:val="affc"/>
        <w:spacing w:before="312" w:after="312"/>
        <w:rPr>
          <w:rFonts w:hint="eastAsia"/>
        </w:rPr>
      </w:pPr>
      <w:r>
        <w:rPr>
          <w:rFonts w:hint="eastAsia"/>
        </w:rPr>
        <w:t>栽培技术</w:t>
      </w:r>
    </w:p>
    <w:p w:rsidR="001D212F" w:rsidRDefault="00FE6D13" w:rsidP="00FE6D13">
      <w:pPr>
        <w:pStyle w:val="affd"/>
        <w:spacing w:before="156" w:after="156"/>
      </w:pPr>
      <w:r>
        <w:rPr>
          <w:rFonts w:hint="eastAsia"/>
        </w:rPr>
        <w:t>播种时间</w:t>
      </w:r>
    </w:p>
    <w:p w:rsidR="00FE6D13" w:rsidRPr="00FE6D13" w:rsidRDefault="00FE6D13" w:rsidP="00FE6D13">
      <w:pPr>
        <w:pStyle w:val="affffb"/>
        <w:ind w:firstLine="420"/>
        <w:rPr>
          <w:rFonts w:ascii="Times New Roman"/>
        </w:rPr>
      </w:pPr>
      <w:r w:rsidRPr="00FE6D13">
        <w:rPr>
          <w:rFonts w:hint="eastAsia"/>
        </w:rPr>
        <w:t>巴彦淖尔市河套灌区春小麦收获时间在7月中上旬前，为充分利用光热资源，最迟于7月25日前完成复种苜蓿播种工作。</w:t>
      </w:r>
    </w:p>
    <w:p w:rsidR="00CD561D" w:rsidRDefault="00FE6D13" w:rsidP="00FE6D13">
      <w:pPr>
        <w:pStyle w:val="affd"/>
        <w:spacing w:before="156" w:after="156"/>
      </w:pPr>
      <w:r>
        <w:rPr>
          <w:rFonts w:hint="eastAsia"/>
        </w:rPr>
        <w:t>播种方法与播种量</w:t>
      </w:r>
    </w:p>
    <w:p w:rsidR="00CD561D" w:rsidRDefault="009859BE" w:rsidP="009859BE">
      <w:pPr>
        <w:pStyle w:val="affe"/>
        <w:spacing w:before="156" w:after="156"/>
      </w:pPr>
      <w:r>
        <w:rPr>
          <w:rFonts w:hint="eastAsia"/>
        </w:rPr>
        <w:t>条播</w:t>
      </w:r>
    </w:p>
    <w:p w:rsidR="009859BE" w:rsidRPr="009859BE" w:rsidRDefault="009859BE" w:rsidP="009859BE">
      <w:pPr>
        <w:pStyle w:val="affffb"/>
        <w:ind w:firstLine="420"/>
        <w:rPr>
          <w:rFonts w:ascii="Times New Roman"/>
        </w:rPr>
      </w:pPr>
      <w:r w:rsidRPr="009859BE">
        <w:rPr>
          <w:rFonts w:hint="eastAsia"/>
        </w:rPr>
        <w:t>行距为</w:t>
      </w:r>
      <w:r w:rsidRPr="009859BE">
        <w:rPr>
          <w:rFonts w:ascii="Times New Roman" w:hint="eastAsia"/>
        </w:rPr>
        <w:t>20 cm</w:t>
      </w:r>
      <w:r w:rsidRPr="009859BE">
        <w:rPr>
          <w:rFonts w:hint="eastAsia"/>
        </w:rPr>
        <w:t>～</w:t>
      </w:r>
      <w:r w:rsidRPr="009859BE">
        <w:rPr>
          <w:rFonts w:ascii="Times New Roman" w:hint="eastAsia"/>
        </w:rPr>
        <w:t>25 cm</w:t>
      </w:r>
      <w:r w:rsidRPr="009859BE">
        <w:rPr>
          <w:rFonts w:hint="eastAsia"/>
        </w:rPr>
        <w:t>，播后覆土镇压。</w:t>
      </w:r>
    </w:p>
    <w:p w:rsidR="009859BE" w:rsidRDefault="009859BE" w:rsidP="009859BE">
      <w:pPr>
        <w:pStyle w:val="affe"/>
        <w:spacing w:before="156" w:after="156"/>
      </w:pPr>
      <w:r>
        <w:rPr>
          <w:rFonts w:hint="eastAsia"/>
        </w:rPr>
        <w:t>播种量</w:t>
      </w:r>
    </w:p>
    <w:p w:rsidR="009859BE" w:rsidRDefault="009859BE" w:rsidP="009859BE">
      <w:pPr>
        <w:pStyle w:val="affffb"/>
        <w:ind w:firstLine="420"/>
      </w:pPr>
      <w:r w:rsidRPr="009859BE">
        <w:rPr>
          <w:rFonts w:hint="eastAsia"/>
        </w:rPr>
        <w:lastRenderedPageBreak/>
        <w:t>苜蓿播量15 kg/hm</w:t>
      </w:r>
      <w:r w:rsidRPr="009859BE">
        <w:rPr>
          <w:rFonts w:hint="eastAsia"/>
          <w:vertAlign w:val="superscript"/>
        </w:rPr>
        <w:t>2</w:t>
      </w:r>
      <w:r w:rsidRPr="009859BE">
        <w:rPr>
          <w:rFonts w:hint="eastAsia"/>
        </w:rPr>
        <w:t>～22.5 kg/hm</w:t>
      </w:r>
      <w:r w:rsidRPr="009859BE">
        <w:rPr>
          <w:rFonts w:hint="eastAsia"/>
          <w:vertAlign w:val="superscript"/>
        </w:rPr>
        <w:t>2</w:t>
      </w:r>
      <w:r w:rsidRPr="009859BE">
        <w:rPr>
          <w:rFonts w:hint="eastAsia"/>
        </w:rPr>
        <w:t>。</w:t>
      </w:r>
    </w:p>
    <w:p w:rsidR="009859BE" w:rsidRPr="009859BE" w:rsidRDefault="009859BE" w:rsidP="009859BE">
      <w:pPr>
        <w:pStyle w:val="affe"/>
        <w:spacing w:before="156" w:after="156"/>
        <w:rPr>
          <w:rFonts w:hint="eastAsia"/>
        </w:rPr>
      </w:pPr>
      <w:r>
        <w:rPr>
          <w:rFonts w:hint="eastAsia"/>
        </w:rPr>
        <w:t>播种深度</w:t>
      </w:r>
    </w:p>
    <w:p w:rsidR="009859BE" w:rsidRDefault="009859BE" w:rsidP="009859BE">
      <w:pPr>
        <w:pStyle w:val="affffb"/>
        <w:ind w:firstLine="420"/>
      </w:pPr>
      <w:r w:rsidRPr="009859BE">
        <w:rPr>
          <w:rFonts w:hint="eastAsia"/>
        </w:rPr>
        <w:t>麦收前灌麦黄水的壤土地播种深度为1cm～1.5cm为宜；麦收后灌水造墒的沙壤地播种深度为1.5 cm～2 cm为宜。</w:t>
      </w:r>
    </w:p>
    <w:p w:rsidR="009859BE" w:rsidRPr="009859BE" w:rsidRDefault="009859BE" w:rsidP="009859BE">
      <w:pPr>
        <w:pStyle w:val="affd"/>
        <w:spacing w:before="156" w:after="156"/>
        <w:rPr>
          <w:rFonts w:hint="eastAsia"/>
        </w:rPr>
      </w:pPr>
      <w:r>
        <w:rPr>
          <w:rFonts w:hint="eastAsia"/>
        </w:rPr>
        <w:t>灌溉与排水</w:t>
      </w:r>
    </w:p>
    <w:p w:rsidR="009859BE" w:rsidRDefault="009859BE" w:rsidP="009859BE">
      <w:pPr>
        <w:pStyle w:val="affffb"/>
        <w:ind w:firstLine="420"/>
      </w:pPr>
      <w:r w:rsidRPr="009859BE">
        <w:rPr>
          <w:rFonts w:hint="eastAsia"/>
        </w:rPr>
        <w:t>麦后复种苜蓿全生育期一般灌溉两次水，出苗后15 d灌第一水；生长发育处于6～7片叶时灌第二水。苜蓿地不宜积水，如积水超过18 h(＜24 h)应及时排除。</w:t>
      </w:r>
    </w:p>
    <w:p w:rsidR="009859BE" w:rsidRPr="009859BE" w:rsidRDefault="009859BE" w:rsidP="009859BE">
      <w:pPr>
        <w:pStyle w:val="affd"/>
        <w:spacing w:before="156" w:after="156"/>
        <w:rPr>
          <w:rFonts w:hint="eastAsia"/>
        </w:rPr>
      </w:pPr>
      <w:r>
        <w:rPr>
          <w:rFonts w:hint="eastAsia"/>
        </w:rPr>
        <w:t>追肥</w:t>
      </w:r>
    </w:p>
    <w:p w:rsidR="009859BE" w:rsidRPr="009859BE" w:rsidRDefault="009859BE" w:rsidP="009859BE">
      <w:pPr>
        <w:pStyle w:val="affffb"/>
        <w:ind w:firstLine="420"/>
      </w:pPr>
      <w:r w:rsidRPr="009859BE">
        <w:rPr>
          <w:rFonts w:hint="eastAsia"/>
        </w:rPr>
        <w:t>在两次灌水时，分别追施尿素150 kg/hm</w:t>
      </w:r>
      <w:r w:rsidRPr="009859BE">
        <w:rPr>
          <w:rFonts w:hint="eastAsia"/>
          <w:vertAlign w:val="superscript"/>
        </w:rPr>
        <w:t>2</w:t>
      </w:r>
      <w:r w:rsidRPr="009859BE">
        <w:rPr>
          <w:rFonts w:hint="eastAsia"/>
        </w:rPr>
        <w:t>～225 kg/hm</w:t>
      </w:r>
      <w:r w:rsidRPr="009859BE">
        <w:rPr>
          <w:rFonts w:hint="eastAsia"/>
          <w:vertAlign w:val="superscript"/>
        </w:rPr>
        <w:t>2</w:t>
      </w:r>
      <w:r w:rsidRPr="009859BE">
        <w:rPr>
          <w:rFonts w:hint="eastAsia"/>
        </w:rPr>
        <w:t>。肥料使用应符合NY/T 496的规定。</w:t>
      </w:r>
    </w:p>
    <w:p w:rsidR="009859BE" w:rsidRDefault="009859BE" w:rsidP="009859BE">
      <w:pPr>
        <w:pStyle w:val="affd"/>
        <w:spacing w:before="156" w:after="156"/>
      </w:pPr>
      <w:r>
        <w:rPr>
          <w:rFonts w:hint="eastAsia"/>
        </w:rPr>
        <w:t>除草</w:t>
      </w:r>
    </w:p>
    <w:p w:rsidR="009859BE" w:rsidRPr="009859BE" w:rsidRDefault="009859BE" w:rsidP="009859BE">
      <w:pPr>
        <w:pStyle w:val="affffb"/>
        <w:ind w:firstLine="420"/>
        <w:rPr>
          <w:rFonts w:hint="eastAsia"/>
          <w:szCs w:val="21"/>
        </w:rPr>
      </w:pPr>
      <w:r>
        <w:rPr>
          <w:rFonts w:hint="eastAsia"/>
        </w:rPr>
        <w:t>防治1年生及多年生阔叶杂草，可用80%唑嘧磺草胺水分散粒剂，3g/667m</w:t>
      </w:r>
      <w:r>
        <w:rPr>
          <w:rFonts w:hint="eastAsia"/>
          <w:vertAlign w:val="superscript"/>
        </w:rPr>
        <w:t>2</w:t>
      </w:r>
      <w:r>
        <w:rPr>
          <w:rFonts w:hint="eastAsia"/>
        </w:rPr>
        <w:t>～5 g/667m</w:t>
      </w:r>
      <w:r>
        <w:rPr>
          <w:rFonts w:hint="eastAsia"/>
          <w:vertAlign w:val="superscript"/>
        </w:rPr>
        <w:t>2</w:t>
      </w:r>
      <w:r>
        <w:rPr>
          <w:rFonts w:hint="eastAsia"/>
        </w:rPr>
        <w:t>。苜蓿苗期杂草防除方法按照NY/T 2701和GB/T 8321执行。</w:t>
      </w:r>
    </w:p>
    <w:p w:rsidR="009859BE" w:rsidRDefault="009859BE" w:rsidP="009859BE">
      <w:pPr>
        <w:pStyle w:val="affd"/>
        <w:spacing w:before="156" w:after="156"/>
      </w:pPr>
      <w:r>
        <w:rPr>
          <w:rFonts w:hint="eastAsia"/>
        </w:rPr>
        <w:t>病虫害防治</w:t>
      </w:r>
    </w:p>
    <w:p w:rsidR="009859BE" w:rsidRDefault="009859BE" w:rsidP="009859BE">
      <w:pPr>
        <w:pStyle w:val="affffb"/>
        <w:ind w:firstLine="420"/>
        <w:rPr>
          <w:color w:val="000000"/>
        </w:rPr>
      </w:pPr>
      <w:r w:rsidRPr="009859BE">
        <w:rPr>
          <w:rFonts w:hint="eastAsia"/>
        </w:rPr>
        <w:t>苜蓿的主要病虫害有褐斑病、炭疽病、蚜虫、蓟马、盲蝽等，生产要坚持绿色防控原则，农药的施用按照</w:t>
      </w:r>
      <w:r w:rsidRPr="009859BE">
        <w:rPr>
          <w:rFonts w:hint="eastAsia"/>
          <w:color w:val="000000"/>
        </w:rPr>
        <w:t>GB/T 8321、NY/T 2702和NY/T 2994的规定执行。</w:t>
      </w:r>
    </w:p>
    <w:p w:rsidR="009859BE" w:rsidRDefault="009859BE" w:rsidP="009859BE">
      <w:pPr>
        <w:pStyle w:val="affc"/>
        <w:spacing w:before="312" w:after="312"/>
      </w:pPr>
      <w:r>
        <w:rPr>
          <w:rFonts w:hint="eastAsia"/>
        </w:rPr>
        <w:t>收获</w:t>
      </w:r>
    </w:p>
    <w:p w:rsidR="009859BE" w:rsidRPr="009859BE" w:rsidRDefault="009859BE" w:rsidP="009859BE">
      <w:pPr>
        <w:pStyle w:val="affd"/>
        <w:spacing w:before="156" w:after="156"/>
        <w:rPr>
          <w:rFonts w:hint="eastAsia"/>
        </w:rPr>
      </w:pPr>
      <w:r>
        <w:rPr>
          <w:rFonts w:hint="eastAsia"/>
        </w:rPr>
        <w:t>刈割期及次数</w:t>
      </w:r>
    </w:p>
    <w:p w:rsidR="009859BE" w:rsidRDefault="009859BE" w:rsidP="009859BE">
      <w:pPr>
        <w:pStyle w:val="affffb"/>
        <w:ind w:firstLine="420"/>
        <w:rPr>
          <w:color w:val="000000"/>
        </w:rPr>
      </w:pPr>
      <w:r w:rsidRPr="009859BE">
        <w:rPr>
          <w:rFonts w:hint="eastAsia"/>
        </w:rPr>
        <w:t>在现蕾期至初花期晴朗天气刈割，麦后复种当年可收割2茬，第一茬在9月上中旬，第二茬在10月中下旬，灌冬水前</w:t>
      </w:r>
      <w:r w:rsidRPr="009859BE">
        <w:rPr>
          <w:rFonts w:ascii="Times New Roman" w:hint="eastAsia"/>
        </w:rPr>
        <w:t>15 d</w:t>
      </w:r>
      <w:r w:rsidRPr="009859BE">
        <w:rPr>
          <w:rFonts w:hint="eastAsia"/>
        </w:rPr>
        <w:t>左右。如后需留作饲草用，可按常规种植紫花苜蓿收割次数刈割，一般</w:t>
      </w:r>
      <w:r w:rsidRPr="009859BE">
        <w:rPr>
          <w:rFonts w:ascii="Times New Roman" w:hint="eastAsia"/>
        </w:rPr>
        <w:t>3</w:t>
      </w:r>
      <w:r w:rsidRPr="009859BE">
        <w:rPr>
          <w:rFonts w:hint="eastAsia"/>
        </w:rPr>
        <w:t>年为一个轮作期</w:t>
      </w:r>
      <w:r w:rsidRPr="009859BE">
        <w:rPr>
          <w:rFonts w:hint="eastAsia"/>
          <w:color w:val="000000"/>
        </w:rPr>
        <w:t>。</w:t>
      </w:r>
    </w:p>
    <w:p w:rsidR="009859BE" w:rsidRPr="009859BE" w:rsidRDefault="009859BE" w:rsidP="009859BE">
      <w:pPr>
        <w:pStyle w:val="affd"/>
        <w:spacing w:before="156" w:after="156"/>
        <w:rPr>
          <w:rFonts w:hint="eastAsia"/>
        </w:rPr>
      </w:pPr>
      <w:r>
        <w:rPr>
          <w:rFonts w:hint="eastAsia"/>
        </w:rPr>
        <w:t>留茬高度</w:t>
      </w:r>
    </w:p>
    <w:p w:rsidR="009859BE" w:rsidRDefault="009859BE" w:rsidP="009859BE">
      <w:pPr>
        <w:pStyle w:val="affffb"/>
        <w:ind w:firstLine="420"/>
      </w:pPr>
      <w:proofErr w:type="gramStart"/>
      <w:r w:rsidRPr="009859BE">
        <w:rPr>
          <w:rFonts w:hint="eastAsia"/>
        </w:rPr>
        <w:t>麦后复种</w:t>
      </w:r>
      <w:proofErr w:type="gramEnd"/>
      <w:r w:rsidRPr="009859BE">
        <w:rPr>
          <w:rFonts w:hint="eastAsia"/>
        </w:rPr>
        <w:t>第一茬留茬</w:t>
      </w:r>
      <w:r w:rsidRPr="009859BE">
        <w:rPr>
          <w:rFonts w:ascii="Times New Roman" w:hint="eastAsia"/>
        </w:rPr>
        <w:t>5 cm</w:t>
      </w:r>
      <w:r w:rsidRPr="009859BE">
        <w:rPr>
          <w:rFonts w:hint="eastAsia"/>
        </w:rPr>
        <w:t>，第二茬收获可不留茬。如翌年需作饲草用，末次刈割留茬高度</w:t>
      </w:r>
      <w:r w:rsidRPr="009859BE">
        <w:rPr>
          <w:rFonts w:ascii="Times New Roman" w:hint="eastAsia"/>
        </w:rPr>
        <w:t>10 cm</w:t>
      </w:r>
      <w:r w:rsidRPr="009859BE">
        <w:rPr>
          <w:rFonts w:hint="eastAsia"/>
        </w:rPr>
        <w:t>以上。</w:t>
      </w:r>
    </w:p>
    <w:bookmarkEnd w:id="22"/>
    <w:p w:rsidR="009859BE" w:rsidRPr="009859BE" w:rsidRDefault="009859BE" w:rsidP="009859BE">
      <w:pPr>
        <w:pStyle w:val="affd"/>
        <w:spacing w:before="156" w:after="156"/>
        <w:rPr>
          <w:rFonts w:hint="eastAsia"/>
        </w:rPr>
      </w:pPr>
      <w:r>
        <w:rPr>
          <w:rFonts w:hint="eastAsia"/>
        </w:rPr>
        <w:t>青干草利用</w:t>
      </w:r>
    </w:p>
    <w:p w:rsidR="009859BE" w:rsidRPr="009859BE" w:rsidRDefault="009859BE" w:rsidP="009859BE">
      <w:pPr>
        <w:pStyle w:val="affffb"/>
        <w:ind w:firstLine="420"/>
        <w:rPr>
          <w:rFonts w:ascii="Times New Roman"/>
        </w:rPr>
      </w:pPr>
      <w:r w:rsidRPr="009859BE">
        <w:rPr>
          <w:rFonts w:hint="eastAsia"/>
        </w:rPr>
        <w:t>刈割后，就地晾</w:t>
      </w:r>
      <w:bookmarkStart w:id="44" w:name="_GoBack"/>
      <w:bookmarkEnd w:id="44"/>
      <w:r w:rsidRPr="009859BE">
        <w:rPr>
          <w:rFonts w:hint="eastAsia"/>
        </w:rPr>
        <w:t>晒，待水分含量低于</w:t>
      </w:r>
      <w:r w:rsidRPr="009859BE">
        <w:rPr>
          <w:rFonts w:ascii="Times New Roman" w:hint="eastAsia"/>
        </w:rPr>
        <w:t>17%</w:t>
      </w:r>
      <w:r w:rsidRPr="009859BE">
        <w:rPr>
          <w:rFonts w:hint="eastAsia"/>
        </w:rPr>
        <w:t>以下时即可打捆堆垛或散装堆垛贮藏。</w:t>
      </w:r>
    </w:p>
    <w:p w:rsidR="009859BE" w:rsidRPr="009859BE" w:rsidRDefault="009859BE" w:rsidP="009859BE">
      <w:pPr>
        <w:pStyle w:val="affffb"/>
        <w:ind w:firstLine="420"/>
        <w:rPr>
          <w:rFonts w:hint="eastAsia"/>
        </w:rPr>
      </w:pPr>
    </w:p>
    <w:sectPr w:rsidR="009859BE" w:rsidRPr="009859BE"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E3E" w:rsidRDefault="00061E3E" w:rsidP="00D86DB7">
      <w:r>
        <w:separator/>
      </w:r>
    </w:p>
    <w:p w:rsidR="00061E3E" w:rsidRDefault="00061E3E"/>
    <w:p w:rsidR="00061E3E" w:rsidRDefault="00061E3E"/>
  </w:endnote>
  <w:endnote w:type="continuationSeparator" w:id="0">
    <w:p w:rsidR="00061E3E" w:rsidRDefault="00061E3E" w:rsidP="00D86DB7">
      <w:r>
        <w:continuationSeparator/>
      </w:r>
    </w:p>
    <w:p w:rsidR="00061E3E" w:rsidRDefault="00061E3E"/>
    <w:p w:rsidR="00061E3E" w:rsidRDefault="00061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E3E" w:rsidRDefault="00061E3E" w:rsidP="00D86DB7">
      <w:r>
        <w:separator/>
      </w:r>
    </w:p>
  </w:footnote>
  <w:footnote w:type="continuationSeparator" w:id="0">
    <w:p w:rsidR="00061E3E" w:rsidRDefault="00061E3E" w:rsidP="00D86DB7">
      <w:r>
        <w:continuationSeparator/>
      </w:r>
    </w:p>
    <w:p w:rsidR="00061E3E" w:rsidRDefault="00061E3E"/>
    <w:p w:rsidR="00061E3E" w:rsidRDefault="00061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5132FC">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9859BE">
      <w:t>DB XX/T XXXX</w:t>
    </w:r>
    <w:r w:rsidR="009859BE">
      <w:t>—</w:t>
    </w:r>
    <w:r w:rsidR="009859BE">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6"/>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p5/802fZKboR7SEhWUulXfz2kjHKK8wWwKeoAooiQVbbcs9nmfRqznhyBSON1tB/Y89bj93KJ27uekw26XAR3g==" w:salt="O4muQkgz1W/exZaT3zyX6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2F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1E3E"/>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2FC"/>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59B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D13"/>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F8E41"/>
  <w15:docId w15:val="{3DD32BEA-C853-4027-BD5E-CB8271027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Normal">
    <w:name w:val="Normal"/>
    <w:rsid w:val="005132FC"/>
    <w:pPr>
      <w:jc w:val="both"/>
    </w:pPr>
    <w:rPr>
      <w:rFonts w:ascii="Times New Roman" w:hAnsi="Times New Roman"/>
      <w:kern w:val="2"/>
      <w:sz w:val="21"/>
      <w:szCs w:val="21"/>
    </w:rPr>
  </w:style>
  <w:style w:type="paragraph" w:customStyle="1" w:styleId="afffffffffffb">
    <w:name w:val="正文首行缩进"/>
    <w:basedOn w:val="afffffd"/>
    <w:semiHidden/>
    <w:rsid w:val="005132FC"/>
    <w:pPr>
      <w:adjustRightInd/>
      <w:spacing w:before="100" w:beforeAutospacing="1" w:after="0" w:line="240" w:lineRule="auto"/>
      <w:ind w:firstLineChars="100" w:firstLine="420"/>
    </w:pPr>
    <w:rPr>
      <w:sz w:val="24"/>
      <w:szCs w:val="24"/>
    </w:rPr>
  </w:style>
  <w:style w:type="paragraph" w:customStyle="1" w:styleId="afffffffffffc">
    <w:name w:val="段"/>
    <w:basedOn w:val="afff5"/>
    <w:rsid w:val="00FE6D13"/>
    <w:pPr>
      <w:widowControl/>
      <w:autoSpaceDE w:val="0"/>
      <w:autoSpaceDN w:val="0"/>
      <w:adjustRightInd/>
      <w:spacing w:line="240" w:lineRule="auto"/>
      <w:ind w:firstLineChars="200" w:firstLine="420"/>
    </w:pPr>
    <w:rPr>
      <w:rFonts w:ascii="宋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2117443">
      <w:bodyDiv w:val="1"/>
      <w:marLeft w:val="0"/>
      <w:marRight w:val="0"/>
      <w:marTop w:val="0"/>
      <w:marBottom w:val="0"/>
      <w:divBdr>
        <w:top w:val="none" w:sz="0" w:space="0" w:color="auto"/>
        <w:left w:val="none" w:sz="0" w:space="0" w:color="auto"/>
        <w:bottom w:val="none" w:sz="0" w:space="0" w:color="auto"/>
        <w:right w:val="none" w:sz="0" w:space="0" w:color="auto"/>
      </w:divBdr>
    </w:div>
    <w:div w:id="153303817">
      <w:bodyDiv w:val="1"/>
      <w:marLeft w:val="0"/>
      <w:marRight w:val="0"/>
      <w:marTop w:val="0"/>
      <w:marBottom w:val="0"/>
      <w:divBdr>
        <w:top w:val="none" w:sz="0" w:space="0" w:color="auto"/>
        <w:left w:val="none" w:sz="0" w:space="0" w:color="auto"/>
        <w:bottom w:val="none" w:sz="0" w:space="0" w:color="auto"/>
        <w:right w:val="none" w:sz="0" w:space="0" w:color="auto"/>
      </w:divBdr>
    </w:div>
    <w:div w:id="257449453">
      <w:bodyDiv w:val="1"/>
      <w:marLeft w:val="0"/>
      <w:marRight w:val="0"/>
      <w:marTop w:val="0"/>
      <w:marBottom w:val="0"/>
      <w:divBdr>
        <w:top w:val="none" w:sz="0" w:space="0" w:color="auto"/>
        <w:left w:val="none" w:sz="0" w:space="0" w:color="auto"/>
        <w:bottom w:val="none" w:sz="0" w:space="0" w:color="auto"/>
        <w:right w:val="none" w:sz="0" w:space="0" w:color="auto"/>
      </w:divBdr>
    </w:div>
    <w:div w:id="269246478">
      <w:bodyDiv w:val="1"/>
      <w:marLeft w:val="0"/>
      <w:marRight w:val="0"/>
      <w:marTop w:val="0"/>
      <w:marBottom w:val="0"/>
      <w:divBdr>
        <w:top w:val="none" w:sz="0" w:space="0" w:color="auto"/>
        <w:left w:val="none" w:sz="0" w:space="0" w:color="auto"/>
        <w:bottom w:val="none" w:sz="0" w:space="0" w:color="auto"/>
        <w:right w:val="none" w:sz="0" w:space="0" w:color="auto"/>
      </w:divBdr>
    </w:div>
    <w:div w:id="530849660">
      <w:bodyDiv w:val="1"/>
      <w:marLeft w:val="0"/>
      <w:marRight w:val="0"/>
      <w:marTop w:val="0"/>
      <w:marBottom w:val="0"/>
      <w:divBdr>
        <w:top w:val="none" w:sz="0" w:space="0" w:color="auto"/>
        <w:left w:val="none" w:sz="0" w:space="0" w:color="auto"/>
        <w:bottom w:val="none" w:sz="0" w:space="0" w:color="auto"/>
        <w:right w:val="none" w:sz="0" w:space="0" w:color="auto"/>
      </w:divBdr>
    </w:div>
    <w:div w:id="560675678">
      <w:bodyDiv w:val="1"/>
      <w:marLeft w:val="0"/>
      <w:marRight w:val="0"/>
      <w:marTop w:val="0"/>
      <w:marBottom w:val="0"/>
      <w:divBdr>
        <w:top w:val="none" w:sz="0" w:space="0" w:color="auto"/>
        <w:left w:val="none" w:sz="0" w:space="0" w:color="auto"/>
        <w:bottom w:val="none" w:sz="0" w:space="0" w:color="auto"/>
        <w:right w:val="none" w:sz="0" w:space="0" w:color="auto"/>
      </w:divBdr>
    </w:div>
    <w:div w:id="733621807">
      <w:bodyDiv w:val="1"/>
      <w:marLeft w:val="0"/>
      <w:marRight w:val="0"/>
      <w:marTop w:val="0"/>
      <w:marBottom w:val="0"/>
      <w:divBdr>
        <w:top w:val="none" w:sz="0" w:space="0" w:color="auto"/>
        <w:left w:val="none" w:sz="0" w:space="0" w:color="auto"/>
        <w:bottom w:val="none" w:sz="0" w:space="0" w:color="auto"/>
        <w:right w:val="none" w:sz="0" w:space="0" w:color="auto"/>
      </w:divBdr>
    </w:div>
    <w:div w:id="773013180">
      <w:bodyDiv w:val="1"/>
      <w:marLeft w:val="0"/>
      <w:marRight w:val="0"/>
      <w:marTop w:val="0"/>
      <w:marBottom w:val="0"/>
      <w:divBdr>
        <w:top w:val="none" w:sz="0" w:space="0" w:color="auto"/>
        <w:left w:val="none" w:sz="0" w:space="0" w:color="auto"/>
        <w:bottom w:val="none" w:sz="0" w:space="0" w:color="auto"/>
        <w:right w:val="none" w:sz="0" w:space="0" w:color="auto"/>
      </w:divBdr>
    </w:div>
    <w:div w:id="818422939">
      <w:bodyDiv w:val="1"/>
      <w:marLeft w:val="0"/>
      <w:marRight w:val="0"/>
      <w:marTop w:val="0"/>
      <w:marBottom w:val="0"/>
      <w:divBdr>
        <w:top w:val="none" w:sz="0" w:space="0" w:color="auto"/>
        <w:left w:val="none" w:sz="0" w:space="0" w:color="auto"/>
        <w:bottom w:val="none" w:sz="0" w:space="0" w:color="auto"/>
        <w:right w:val="none" w:sz="0" w:space="0" w:color="auto"/>
      </w:divBdr>
    </w:div>
    <w:div w:id="903101696">
      <w:bodyDiv w:val="1"/>
      <w:marLeft w:val="0"/>
      <w:marRight w:val="0"/>
      <w:marTop w:val="0"/>
      <w:marBottom w:val="0"/>
      <w:divBdr>
        <w:top w:val="none" w:sz="0" w:space="0" w:color="auto"/>
        <w:left w:val="none" w:sz="0" w:space="0" w:color="auto"/>
        <w:bottom w:val="none" w:sz="0" w:space="0" w:color="auto"/>
        <w:right w:val="none" w:sz="0" w:space="0" w:color="auto"/>
      </w:divBdr>
    </w:div>
    <w:div w:id="982732410">
      <w:bodyDiv w:val="1"/>
      <w:marLeft w:val="0"/>
      <w:marRight w:val="0"/>
      <w:marTop w:val="0"/>
      <w:marBottom w:val="0"/>
      <w:divBdr>
        <w:top w:val="none" w:sz="0" w:space="0" w:color="auto"/>
        <w:left w:val="none" w:sz="0" w:space="0" w:color="auto"/>
        <w:bottom w:val="none" w:sz="0" w:space="0" w:color="auto"/>
        <w:right w:val="none" w:sz="0" w:space="0" w:color="auto"/>
      </w:divBdr>
    </w:div>
    <w:div w:id="1139030438">
      <w:bodyDiv w:val="1"/>
      <w:marLeft w:val="0"/>
      <w:marRight w:val="0"/>
      <w:marTop w:val="0"/>
      <w:marBottom w:val="0"/>
      <w:divBdr>
        <w:top w:val="none" w:sz="0" w:space="0" w:color="auto"/>
        <w:left w:val="none" w:sz="0" w:space="0" w:color="auto"/>
        <w:bottom w:val="none" w:sz="0" w:space="0" w:color="auto"/>
        <w:right w:val="none" w:sz="0" w:space="0" w:color="auto"/>
      </w:divBdr>
    </w:div>
    <w:div w:id="1161002784">
      <w:bodyDiv w:val="1"/>
      <w:marLeft w:val="0"/>
      <w:marRight w:val="0"/>
      <w:marTop w:val="0"/>
      <w:marBottom w:val="0"/>
      <w:divBdr>
        <w:top w:val="none" w:sz="0" w:space="0" w:color="auto"/>
        <w:left w:val="none" w:sz="0" w:space="0" w:color="auto"/>
        <w:bottom w:val="none" w:sz="0" w:space="0" w:color="auto"/>
        <w:right w:val="none" w:sz="0" w:space="0" w:color="auto"/>
      </w:divBdr>
    </w:div>
    <w:div w:id="1466775532">
      <w:bodyDiv w:val="1"/>
      <w:marLeft w:val="0"/>
      <w:marRight w:val="0"/>
      <w:marTop w:val="0"/>
      <w:marBottom w:val="0"/>
      <w:divBdr>
        <w:top w:val="none" w:sz="0" w:space="0" w:color="auto"/>
        <w:left w:val="none" w:sz="0" w:space="0" w:color="auto"/>
        <w:bottom w:val="none" w:sz="0" w:space="0" w:color="auto"/>
        <w:right w:val="none" w:sz="0" w:space="0" w:color="auto"/>
      </w:divBdr>
    </w:div>
    <w:div w:id="1570841504">
      <w:bodyDiv w:val="1"/>
      <w:marLeft w:val="0"/>
      <w:marRight w:val="0"/>
      <w:marTop w:val="0"/>
      <w:marBottom w:val="0"/>
      <w:divBdr>
        <w:top w:val="none" w:sz="0" w:space="0" w:color="auto"/>
        <w:left w:val="none" w:sz="0" w:space="0" w:color="auto"/>
        <w:bottom w:val="none" w:sz="0" w:space="0" w:color="auto"/>
        <w:right w:val="none" w:sz="0" w:space="0" w:color="auto"/>
      </w:divBdr>
    </w:div>
    <w:div w:id="1661541531">
      <w:bodyDiv w:val="1"/>
      <w:marLeft w:val="0"/>
      <w:marRight w:val="0"/>
      <w:marTop w:val="0"/>
      <w:marBottom w:val="0"/>
      <w:divBdr>
        <w:top w:val="none" w:sz="0" w:space="0" w:color="auto"/>
        <w:left w:val="none" w:sz="0" w:space="0" w:color="auto"/>
        <w:bottom w:val="none" w:sz="0" w:space="0" w:color="auto"/>
        <w:right w:val="none" w:sz="0" w:space="0" w:color="auto"/>
      </w:divBdr>
    </w:div>
    <w:div w:id="1738891072">
      <w:bodyDiv w:val="1"/>
      <w:marLeft w:val="0"/>
      <w:marRight w:val="0"/>
      <w:marTop w:val="0"/>
      <w:marBottom w:val="0"/>
      <w:divBdr>
        <w:top w:val="none" w:sz="0" w:space="0" w:color="auto"/>
        <w:left w:val="none" w:sz="0" w:space="0" w:color="auto"/>
        <w:bottom w:val="none" w:sz="0" w:space="0" w:color="auto"/>
        <w:right w:val="none" w:sz="0" w:space="0" w:color="auto"/>
      </w:divBdr>
    </w:div>
    <w:div w:id="1795713623">
      <w:bodyDiv w:val="1"/>
      <w:marLeft w:val="0"/>
      <w:marRight w:val="0"/>
      <w:marTop w:val="0"/>
      <w:marBottom w:val="0"/>
      <w:divBdr>
        <w:top w:val="none" w:sz="0" w:space="0" w:color="auto"/>
        <w:left w:val="none" w:sz="0" w:space="0" w:color="auto"/>
        <w:bottom w:val="none" w:sz="0" w:space="0" w:color="auto"/>
        <w:right w:val="none" w:sz="0" w:space="0" w:color="auto"/>
      </w:divBdr>
    </w:div>
    <w:div w:id="1796217896">
      <w:bodyDiv w:val="1"/>
      <w:marLeft w:val="0"/>
      <w:marRight w:val="0"/>
      <w:marTop w:val="0"/>
      <w:marBottom w:val="0"/>
      <w:divBdr>
        <w:top w:val="none" w:sz="0" w:space="0" w:color="auto"/>
        <w:left w:val="none" w:sz="0" w:space="0" w:color="auto"/>
        <w:bottom w:val="none" w:sz="0" w:space="0" w:color="auto"/>
        <w:right w:val="none" w:sz="0" w:space="0" w:color="auto"/>
      </w:divBdr>
    </w:div>
    <w:div w:id="1804040499">
      <w:bodyDiv w:val="1"/>
      <w:marLeft w:val="0"/>
      <w:marRight w:val="0"/>
      <w:marTop w:val="0"/>
      <w:marBottom w:val="0"/>
      <w:divBdr>
        <w:top w:val="none" w:sz="0" w:space="0" w:color="auto"/>
        <w:left w:val="none" w:sz="0" w:space="0" w:color="auto"/>
        <w:bottom w:val="none" w:sz="0" w:space="0" w:color="auto"/>
        <w:right w:val="none" w:sz="0" w:space="0" w:color="auto"/>
      </w:divBdr>
    </w:div>
    <w:div w:id="1881479913">
      <w:bodyDiv w:val="1"/>
      <w:marLeft w:val="0"/>
      <w:marRight w:val="0"/>
      <w:marTop w:val="0"/>
      <w:marBottom w:val="0"/>
      <w:divBdr>
        <w:top w:val="none" w:sz="0" w:space="0" w:color="auto"/>
        <w:left w:val="none" w:sz="0" w:space="0" w:color="auto"/>
        <w:bottom w:val="none" w:sz="0" w:space="0" w:color="auto"/>
        <w:right w:val="none" w:sz="0" w:space="0" w:color="auto"/>
      </w:divBdr>
    </w:div>
    <w:div w:id="1939873561">
      <w:bodyDiv w:val="1"/>
      <w:marLeft w:val="0"/>
      <w:marRight w:val="0"/>
      <w:marTop w:val="0"/>
      <w:marBottom w:val="0"/>
      <w:divBdr>
        <w:top w:val="none" w:sz="0" w:space="0" w:color="auto"/>
        <w:left w:val="none" w:sz="0" w:space="0" w:color="auto"/>
        <w:bottom w:val="none" w:sz="0" w:space="0" w:color="auto"/>
        <w:right w:val="none" w:sz="0" w:space="0" w:color="auto"/>
      </w:divBdr>
    </w:div>
    <w:div w:id="211898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5EE9FB052A40BC871F0A03EF2ABEAC"/>
        <w:category>
          <w:name w:val="常规"/>
          <w:gallery w:val="placeholder"/>
        </w:category>
        <w:types>
          <w:type w:val="bbPlcHdr"/>
        </w:types>
        <w:behaviors>
          <w:behavior w:val="content"/>
        </w:behaviors>
        <w:guid w:val="{7EF38E4F-6B69-4324-9992-E6A45D599A14}"/>
      </w:docPartPr>
      <w:docPartBody>
        <w:p w:rsidR="00000000" w:rsidRDefault="00827B16">
          <w:pPr>
            <w:pStyle w:val="9E5EE9FB052A40BC871F0A03EF2ABEAC"/>
          </w:pPr>
          <w:r w:rsidRPr="00751A05">
            <w:rPr>
              <w:rStyle w:val="a3"/>
              <w:rFonts w:hint="eastAsia"/>
            </w:rPr>
            <w:t>单击或点击此处输入文字。</w:t>
          </w:r>
        </w:p>
      </w:docPartBody>
    </w:docPart>
    <w:docPart>
      <w:docPartPr>
        <w:name w:val="7CAA4FE19C094FDDBFE051F96F0AD06C"/>
        <w:category>
          <w:name w:val="常规"/>
          <w:gallery w:val="placeholder"/>
        </w:category>
        <w:types>
          <w:type w:val="bbPlcHdr"/>
        </w:types>
        <w:behaviors>
          <w:behavior w:val="content"/>
        </w:behaviors>
        <w:guid w:val="{EE729183-8836-4872-AFE8-570DA1BE964B}"/>
      </w:docPartPr>
      <w:docPartBody>
        <w:p w:rsidR="00000000" w:rsidRDefault="00827B16">
          <w:pPr>
            <w:pStyle w:val="7CAA4FE19C094FDDBFE051F96F0AD06C"/>
          </w:pPr>
          <w:r w:rsidRPr="00FB6243">
            <w:rPr>
              <w:rStyle w:val="a3"/>
              <w:rFonts w:hint="eastAsia"/>
            </w:rPr>
            <w:t>选择一项。</w:t>
          </w:r>
        </w:p>
      </w:docPartBody>
    </w:docPart>
    <w:docPart>
      <w:docPartPr>
        <w:name w:val="7C2445097DD944A4B82878AA417D5BE4"/>
        <w:category>
          <w:name w:val="常规"/>
          <w:gallery w:val="placeholder"/>
        </w:category>
        <w:types>
          <w:type w:val="bbPlcHdr"/>
        </w:types>
        <w:behaviors>
          <w:behavior w:val="content"/>
        </w:behaviors>
        <w:guid w:val="{EA6DF96A-7D31-4820-A6D9-B2BFBFCAC54A}"/>
      </w:docPartPr>
      <w:docPartBody>
        <w:p w:rsidR="00000000" w:rsidRDefault="00827B16">
          <w:pPr>
            <w:pStyle w:val="7C2445097DD944A4B82878AA417D5BE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B16"/>
    <w:rsid w:val="00827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E5EE9FB052A40BC871F0A03EF2ABEAC">
    <w:name w:val="9E5EE9FB052A40BC871F0A03EF2ABEAC"/>
    <w:pPr>
      <w:widowControl w:val="0"/>
      <w:jc w:val="both"/>
    </w:pPr>
  </w:style>
  <w:style w:type="paragraph" w:customStyle="1" w:styleId="7CAA4FE19C094FDDBFE051F96F0AD06C">
    <w:name w:val="7CAA4FE19C094FDDBFE051F96F0AD06C"/>
    <w:pPr>
      <w:widowControl w:val="0"/>
      <w:jc w:val="both"/>
    </w:pPr>
  </w:style>
  <w:style w:type="paragraph" w:customStyle="1" w:styleId="7C2445097DD944A4B82878AA417D5BE4">
    <w:name w:val="7C2445097DD944A4B82878AA417D5BE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84B06-5257-4575-B0A7-BAC953AB3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32</TotalTime>
  <Pages>5</Pages>
  <Words>1194</Words>
  <Characters>1494</Characters>
  <Application>Microsoft Office Word</Application>
  <DocSecurity>0</DocSecurity>
  <Lines>249</Lines>
  <Paragraphs>223</Paragraphs>
  <ScaleCrop>false</ScaleCrop>
  <Company>PCMI</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Administrator</cp:lastModifiedBy>
  <cp:revision>1</cp:revision>
  <cp:lastPrinted>2020-08-30T10:00:00Z</cp:lastPrinted>
  <dcterms:created xsi:type="dcterms:W3CDTF">2024-08-01T01:53:00Z</dcterms:created>
  <dcterms:modified xsi:type="dcterms:W3CDTF">2024-08-01T02:25:00Z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