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lang w:eastAsia="zh-CN"/>
        </w:rPr>
        <w:t>巴彦淖尔市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rPr>
          <w:rFonts w:hint="eastAsia"/>
          <w:lang w:eastAsia="zh-CN"/>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“葫地系列”</w:t>
      </w:r>
      <w:r>
        <w:rPr>
          <w:rFonts w:hint="eastAsia"/>
        </w:rPr>
        <w:t>籽用西葫芦水肥一体化</w:t>
      </w:r>
      <w:r>
        <w:rPr>
          <w:rFonts w:hint="eastAsia"/>
          <w:lang w:eastAsia="zh-CN"/>
        </w:rPr>
        <w:t>配套</w:t>
      </w:r>
    </w:p>
    <w:p>
      <w:pPr>
        <w:pStyle w:val="197"/>
        <w:framePr w:h="6974" w:hRule="exact" w:x="1419" w:anchorLock="1"/>
      </w:pPr>
      <w:r>
        <w:rPr>
          <w:rFonts w:hint="eastAsia"/>
        </w:rPr>
        <w:t>栽培技术</w:t>
      </w:r>
      <w:r>
        <w:rPr>
          <w:rFonts w:hint="eastAsia"/>
          <w:lang w:eastAsia="zh-CN"/>
        </w:rPr>
        <w:t>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bookmarkStart w:id="44" w:name="_GoBack"/>
      <w:bookmarkEnd w:id="44"/>
      <w:r>
        <w:rPr>
          <w:rFonts w:hint="eastAsia" w:ascii="黑体" w:hAnsi="黑体" w:eastAsia="黑体"/>
          <w:szCs w:val="28"/>
        </w:rPr>
        <w:t>The "Hudi Series" zucchini cultivar follows an integrated water and nutrient management cultivation protocol</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89"/>
        <w:spacing w:before="900"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p>
    <w:p>
      <w:pPr>
        <w:pStyle w:val="56"/>
        <w:ind w:firstLine="420"/>
      </w:pPr>
    </w:p>
    <w:p>
      <w:pPr>
        <w:pStyle w:val="56"/>
        <w:ind w:firstLine="420"/>
      </w:pPr>
    </w:p>
    <w:p>
      <w:pPr>
        <w:pStyle w:val="230"/>
        <w:ind w:firstLine="420" w:firstLineChars="200"/>
        <w:rPr>
          <w:color w:val="000000" w:themeColor="text1"/>
          <w14:textFill>
            <w14:solidFill>
              <w14:schemeClr w14:val="tx1"/>
            </w14:solidFill>
          </w14:textFill>
        </w:rPr>
      </w:pPr>
      <w:r>
        <w:rPr>
          <w:rFonts w:hint="eastAsia"/>
        </w:rPr>
        <w:t>本文件</w:t>
      </w:r>
      <w:r>
        <w:rPr>
          <w:rFonts w:hint="eastAsia"/>
          <w:color w:val="000000" w:themeColor="text1"/>
          <w14:textFill>
            <w14:solidFill>
              <w14:schemeClr w14:val="tx1"/>
            </w14:solidFill>
          </w14:textFill>
        </w:rPr>
        <w:t>由</w:t>
      </w:r>
      <w:r>
        <w:rPr>
          <w:rFonts w:hint="eastAsia" w:ascii="宋体" w:hAnsi="宋体"/>
          <w:color w:val="000000" w:themeColor="text1"/>
          <w14:textFill>
            <w14:solidFill>
              <w14:schemeClr w14:val="tx1"/>
            </w14:solidFill>
          </w14:textFill>
        </w:rPr>
        <w:t>巴彦淖尔市</w:t>
      </w:r>
      <w:r>
        <w:rPr>
          <w:rFonts w:hint="eastAsia" w:ascii="宋体" w:hAnsi="宋体"/>
          <w:color w:val="000000" w:themeColor="text1"/>
          <w:lang w:eastAsia="zh-CN"/>
          <w14:textFill>
            <w14:solidFill>
              <w14:schemeClr w14:val="tx1"/>
            </w14:solidFill>
          </w14:textFill>
        </w:rPr>
        <w:t>现代农牧事业发展中心</w:t>
      </w:r>
      <w:r>
        <w:rPr>
          <w:rFonts w:hint="eastAsia"/>
          <w:color w:val="000000" w:themeColor="text1"/>
          <w14:textFill>
            <w14:solidFill>
              <w14:schemeClr w14:val="tx1"/>
            </w14:solidFill>
          </w14:textFill>
        </w:rPr>
        <w:t>提出。</w:t>
      </w:r>
    </w:p>
    <w:p>
      <w:pPr>
        <w:pStyle w:val="230"/>
        <w:ind w:firstLine="420" w:firstLineChars="200"/>
      </w:pPr>
      <w:r>
        <w:rPr>
          <w:rFonts w:hint="eastAsia"/>
          <w:color w:val="000000" w:themeColor="text1"/>
          <w14:textFill>
            <w14:solidFill>
              <w14:schemeClr w14:val="tx1"/>
            </w14:solidFill>
          </w14:textFill>
        </w:rPr>
        <w:t>本文件由</w:t>
      </w:r>
      <w:r>
        <w:rPr>
          <w:rFonts w:hint="eastAsia" w:ascii="宋体" w:hAnsi="宋体"/>
          <w:color w:val="000000" w:themeColor="text1"/>
          <w:lang w:eastAsia="zh-CN"/>
          <w14:textFill>
            <w14:solidFill>
              <w14:schemeClr w14:val="tx1"/>
            </w14:solidFill>
          </w14:textFill>
        </w:rPr>
        <w:t>巴彦淖尔市农牧局</w:t>
      </w:r>
      <w:r>
        <w:rPr>
          <w:rFonts w:hint="eastAsia"/>
          <w:color w:val="000000" w:themeColor="text1"/>
          <w14:textFill>
            <w14:solidFill>
              <w14:schemeClr w14:val="tx1"/>
            </w14:solidFill>
          </w14:textFill>
        </w:rPr>
        <w:t>归</w:t>
      </w:r>
      <w:r>
        <w:rPr>
          <w:rFonts w:hint="eastAsia"/>
        </w:rPr>
        <w:t>口。</w:t>
      </w:r>
    </w:p>
    <w:p>
      <w:pPr>
        <w:pStyle w:val="56"/>
        <w:ind w:firstLine="420"/>
        <w:rPr>
          <w:szCs w:val="21"/>
        </w:rPr>
      </w:pPr>
      <w:r>
        <w:rPr>
          <w:rFonts w:hint="eastAsia"/>
        </w:rPr>
        <w:t>本文件起草单位：</w:t>
      </w:r>
      <w:r>
        <w:rPr>
          <w:rFonts w:hint="eastAsia" w:hAnsi="宋体"/>
        </w:rPr>
        <w:t>巴彦淖尔市现代农牧事业发展中心、临河区农业技术推广中心、乌拉特前旗现代农牧事业发展中心、</w:t>
      </w:r>
      <w:r>
        <w:rPr>
          <w:rFonts w:hint="eastAsia" w:hAnsi="宋体"/>
          <w:lang w:eastAsia="zh-CN"/>
        </w:rPr>
        <w:t>磴口县农牧业技术推广中心、巴彦淖尔市耕地质量监测保护中心、</w:t>
      </w:r>
      <w:r>
        <w:rPr>
          <w:rFonts w:hint="eastAsia" w:hAnsi="宋体"/>
        </w:rPr>
        <w:t>内蒙古禾兴农牧业有限责任公司。</w:t>
      </w:r>
    </w:p>
    <w:p>
      <w:pPr>
        <w:pStyle w:val="56"/>
        <w:ind w:firstLine="420"/>
        <w:rPr>
          <w:rFonts w:hint="eastAsia" w:ascii="宋体" w:hAnsi="宋体" w:eastAsia="宋体" w:cs="Times New Roman"/>
        </w:rPr>
      </w:pPr>
      <w:r>
        <w:rPr>
          <w:rFonts w:hint="eastAsia"/>
        </w:rPr>
        <w:t>本文件主要起</w:t>
      </w:r>
      <w:r>
        <w:rPr>
          <w:rFonts w:hint="eastAsia" w:ascii="宋体" w:hAnsi="宋体" w:eastAsia="宋体" w:cs="Times New Roman"/>
        </w:rPr>
        <w:t>草人：</w:t>
      </w:r>
      <w:r>
        <w:rPr>
          <w:rFonts w:hint="eastAsia" w:ascii="宋体" w:hAnsi="宋体" w:eastAsia="宋体" w:cs="Times New Roman"/>
          <w:lang w:eastAsia="zh-CN"/>
        </w:rPr>
        <w:t>李文峰、崔瑛、何忠萍、张华、张晓红、王春梅、李洁、刘政、李志强、张顺、张希吏、杨楠、高瑞芳、高慧成、霍春霞、苏慧、马爱玲、高渊、王舒禹、左丹建</w:t>
      </w:r>
    </w:p>
    <w:p>
      <w:pPr>
        <w:pStyle w:val="56"/>
        <w:ind w:firstLine="420"/>
      </w:pPr>
    </w:p>
    <w:p>
      <w:pPr>
        <w:pStyle w:val="56"/>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09BD38DFD4CF420CADD25C8993FFD039"/>
        </w:placeholder>
      </w:sdtPr>
      <w:sdtContent>
        <w:p>
          <w:pPr>
            <w:pStyle w:val="177"/>
            <w:spacing w:before="312" w:beforeLines="100" w:after="686" w:afterLines="220"/>
          </w:pPr>
          <w:bookmarkStart w:id="23" w:name="NEW_STAND_NAME"/>
          <w:r>
            <w:rPr>
              <w:rFonts w:hint="eastAsia"/>
              <w:lang w:eastAsia="zh-CN"/>
            </w:rPr>
            <w:t>“葫地系列”</w:t>
          </w:r>
          <w:r>
            <w:rPr>
              <w:rFonts w:hint="eastAsia"/>
            </w:rPr>
            <w:t>籽用西葫芦水肥一体化</w:t>
          </w:r>
          <w:r>
            <w:rPr>
              <w:rFonts w:hint="eastAsia"/>
              <w:lang w:eastAsia="zh-CN"/>
            </w:rPr>
            <w:t>配套</w:t>
          </w:r>
          <w:r>
            <w:rPr>
              <w:rFonts w:hint="eastAsia"/>
            </w:rPr>
            <w:t>栽培技术</w:t>
          </w:r>
          <w:r>
            <w:rPr>
              <w:rFonts w:hint="eastAsia"/>
              <w:lang w:eastAsia="zh-CN"/>
            </w:rPr>
            <w:t>规程</w:t>
          </w:r>
        </w:p>
      </w:sdtContent>
    </w:sdt>
    <w:bookmarkEnd w:id="23"/>
    <w:p>
      <w:pPr>
        <w:pStyle w:val="104"/>
        <w:spacing w:before="312" w:after="312"/>
      </w:pPr>
      <w:bookmarkStart w:id="24" w:name="_Toc17233333"/>
      <w:bookmarkStart w:id="25" w:name="_Toc26718930"/>
      <w:bookmarkStart w:id="26" w:name="_Toc26986771"/>
      <w:bookmarkStart w:id="27" w:name="_Toc97191423"/>
      <w:bookmarkStart w:id="28" w:name="_Toc26648465"/>
      <w:bookmarkStart w:id="29" w:name="_Toc26986530"/>
      <w:bookmarkStart w:id="30" w:name="_Toc24884211"/>
      <w:bookmarkStart w:id="31" w:name="_Toc24884218"/>
      <w:bookmarkStart w:id="32" w:name="_Toc17233325"/>
      <w:r>
        <w:rPr>
          <w:rFonts w:hint="eastAsia"/>
        </w:rPr>
        <w:t>范围</w:t>
      </w:r>
      <w:bookmarkEnd w:id="24"/>
      <w:bookmarkEnd w:id="25"/>
      <w:bookmarkEnd w:id="26"/>
      <w:bookmarkEnd w:id="27"/>
      <w:bookmarkEnd w:id="28"/>
      <w:bookmarkEnd w:id="29"/>
      <w:bookmarkEnd w:id="30"/>
      <w:bookmarkEnd w:id="31"/>
      <w:bookmarkEnd w:id="32"/>
    </w:p>
    <w:p>
      <w:pPr>
        <w:pStyle w:val="56"/>
        <w:spacing w:line="500" w:lineRule="exact"/>
        <w:ind w:firstLine="420"/>
        <w:rPr>
          <w:rFonts w:hint="eastAsia" w:ascii="宋体" w:hAnsi="宋体" w:eastAsia="宋体" w:cs="Times New Roman"/>
          <w:kern w:val="0"/>
          <w:sz w:val="21"/>
          <w:szCs w:val="21"/>
          <w:lang w:val="en-US" w:eastAsia="zh-CN" w:bidi="ar-SA"/>
        </w:rPr>
      </w:pPr>
      <w:bookmarkStart w:id="33" w:name="_Toc24884212"/>
      <w:bookmarkStart w:id="34" w:name="_Toc26648466"/>
      <w:bookmarkStart w:id="35" w:name="_Toc17233334"/>
      <w:bookmarkStart w:id="36" w:name="_Toc17233326"/>
      <w:bookmarkStart w:id="37" w:name="_Toc24884219"/>
      <w:r>
        <w:rPr>
          <w:rFonts w:hint="eastAsia" w:ascii="宋体" w:hAnsi="宋体" w:eastAsia="宋体" w:cs="Times New Roman"/>
          <w:kern w:val="0"/>
          <w:sz w:val="21"/>
          <w:szCs w:val="21"/>
          <w:lang w:val="en-US" w:eastAsia="zh-CN" w:bidi="ar-SA"/>
        </w:rPr>
        <w:t>本文件规定了“葫地系列”籽用西葫芦水肥一体化配套栽培技术的产地环境、选地整地、施肥、滴灌、品种选择、栽培技术、病虫害防治、采收及地膜与滴灌软管回收处理。</w:t>
      </w:r>
    </w:p>
    <w:p>
      <w:pPr>
        <w:ind w:firstLine="420" w:firstLineChars="200"/>
      </w:pPr>
      <w:r>
        <w:rPr>
          <w:rFonts w:hint="eastAsia" w:ascii="宋体" w:hAnsi="宋体" w:eastAsia="宋体" w:cs="Times New Roman"/>
          <w:kern w:val="0"/>
          <w:sz w:val="21"/>
          <w:szCs w:val="21"/>
          <w:lang w:val="en-US" w:eastAsia="zh-CN" w:bidi="ar-SA"/>
        </w:rPr>
        <w:t>本文件适用于巴彦淖尔市“葫地系列”籽用西葫芦及同类型品种的籽用西葫芦种植栽培生产，其他种植区域可参照执行。</w:t>
      </w:r>
    </w:p>
    <w:p>
      <w:pPr>
        <w:pStyle w:val="104"/>
        <w:spacing w:before="312" w:after="312"/>
      </w:pPr>
      <w:bookmarkStart w:id="38" w:name="_Toc26986531"/>
      <w:bookmarkStart w:id="39" w:name="_Toc267189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2223AD8FB84E4DCAB8B24CAE5CDF921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ascii="宋体" w:hAnsi="宋体" w:eastAsia="宋体" w:cs="Times New Roman"/>
              <w:kern w:val="0"/>
              <w:sz w:val="21"/>
              <w:szCs w:val="21"/>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spacing w:line="500" w:lineRule="exact"/>
        <w:ind w:firstLine="420"/>
        <w:rPr>
          <w:rFonts w:hint="eastAsia" w:hAnsi="宋体"/>
          <w:kern w:val="2"/>
        </w:rPr>
      </w:pPr>
      <w:r>
        <w:rPr>
          <w:rFonts w:hint="eastAsia" w:hAnsi="宋体"/>
          <w:kern w:val="2"/>
        </w:rPr>
        <w:t>GB 5084</w:t>
      </w:r>
      <w:r>
        <w:rPr>
          <w:rFonts w:hint="eastAsia"/>
          <w:kern w:val="2"/>
        </w:rPr>
        <w:t xml:space="preserve">  </w:t>
      </w:r>
      <w:r>
        <w:rPr>
          <w:rFonts w:hint="eastAsia" w:hAnsi="宋体"/>
          <w:kern w:val="2"/>
        </w:rPr>
        <w:t>农田灌溉水标准</w:t>
      </w:r>
    </w:p>
    <w:p>
      <w:pPr>
        <w:pStyle w:val="56"/>
        <w:spacing w:line="500" w:lineRule="exact"/>
        <w:ind w:firstLine="420"/>
        <w:rPr>
          <w:kern w:val="2"/>
        </w:rPr>
      </w:pPr>
      <w:r>
        <w:rPr>
          <w:rFonts w:hint="eastAsia" w:hAnsi="宋体"/>
          <w:kern w:val="2"/>
        </w:rPr>
        <w:t>GB 13735</w:t>
      </w:r>
      <w:r>
        <w:rPr>
          <w:rFonts w:hint="eastAsia"/>
          <w:kern w:val="2"/>
        </w:rPr>
        <w:t xml:space="preserve">  </w:t>
      </w:r>
      <w:r>
        <w:rPr>
          <w:rFonts w:hint="eastAsia" w:hAnsi="宋体"/>
          <w:kern w:val="2"/>
        </w:rPr>
        <w:t>聚乙烯吹塑农用地面覆盖薄膜</w:t>
      </w:r>
      <w:r>
        <w:rPr>
          <w:rFonts w:hint="eastAsia"/>
          <w:kern w:val="2"/>
        </w:rPr>
        <w:t xml:space="preserve"> </w:t>
      </w:r>
    </w:p>
    <w:p>
      <w:pPr>
        <w:widowControl/>
        <w:spacing w:line="500" w:lineRule="exact"/>
        <w:ind w:firstLine="420" w:firstLineChars="200"/>
        <w:jc w:val="left"/>
        <w:rPr>
          <w:rFonts w:ascii="宋体" w:hAnsi="Times New Roman"/>
        </w:rPr>
      </w:pPr>
      <w:r>
        <w:rPr>
          <w:rFonts w:hint="eastAsia" w:ascii="宋体" w:hAnsi="宋体"/>
        </w:rPr>
        <w:t>GB 15618</w:t>
      </w:r>
      <w:r>
        <w:rPr>
          <w:rFonts w:hint="eastAsia" w:ascii="宋体" w:hAnsi="Times New Roman"/>
        </w:rPr>
        <w:t xml:space="preserve">  </w:t>
      </w:r>
      <w:r>
        <w:rPr>
          <w:rFonts w:hint="eastAsia" w:ascii="宋体" w:hAnsi="宋体"/>
        </w:rPr>
        <w:t>土壤环境质量标准</w:t>
      </w:r>
    </w:p>
    <w:p>
      <w:pPr>
        <w:widowControl/>
        <w:spacing w:line="500" w:lineRule="exact"/>
        <w:ind w:firstLine="420" w:firstLineChars="200"/>
        <w:jc w:val="left"/>
        <w:rPr>
          <w:rFonts w:ascii="宋体" w:hAnsi="宋体"/>
          <w:color w:val="000000"/>
          <w:kern w:val="0"/>
        </w:rPr>
      </w:pPr>
      <w:r>
        <w:rPr>
          <w:rFonts w:hint="eastAsia" w:ascii="宋体" w:hAnsi="宋体"/>
          <w:color w:val="000000"/>
          <w:kern w:val="0"/>
        </w:rPr>
        <w:t>GB/T 8321.10   农药合理使用准则（十）</w:t>
      </w:r>
    </w:p>
    <w:p>
      <w:pPr>
        <w:pStyle w:val="56"/>
        <w:spacing w:line="500" w:lineRule="exact"/>
        <w:ind w:firstLine="420"/>
        <w:rPr>
          <w:rFonts w:hint="eastAsia" w:hAnsi="宋体"/>
          <w:kern w:val="2"/>
        </w:rPr>
      </w:pPr>
      <w:r>
        <w:rPr>
          <w:rFonts w:hint="eastAsia" w:hAnsi="宋体"/>
          <w:kern w:val="2"/>
        </w:rPr>
        <w:t xml:space="preserve">GB/T 19812.5  </w:t>
      </w:r>
      <w:r>
        <w:rPr>
          <w:rFonts w:hint="eastAsia" w:ascii="Times New Roman"/>
          <w:kern w:val="2"/>
        </w:rPr>
        <w:t xml:space="preserve"> </w:t>
      </w:r>
      <w:r>
        <w:rPr>
          <w:rFonts w:hint="eastAsia" w:hAnsi="宋体"/>
          <w:kern w:val="2"/>
        </w:rPr>
        <w:t>塑料节水灌溉器材</w:t>
      </w:r>
    </w:p>
    <w:p>
      <w:pPr>
        <w:pStyle w:val="56"/>
        <w:spacing w:line="500" w:lineRule="exact"/>
        <w:ind w:firstLine="420"/>
        <w:rPr>
          <w:kern w:val="2"/>
        </w:rPr>
      </w:pPr>
      <w:r>
        <w:rPr>
          <w:rFonts w:hint="eastAsia" w:hAnsi="宋体"/>
          <w:kern w:val="2"/>
        </w:rPr>
        <w:t>GB/T 50363  节水灌溉工程技术标准</w:t>
      </w:r>
    </w:p>
    <w:p>
      <w:pPr>
        <w:pStyle w:val="56"/>
        <w:spacing w:line="500" w:lineRule="exact"/>
        <w:ind w:firstLine="420"/>
        <w:rPr>
          <w:kern w:val="2"/>
        </w:rPr>
      </w:pPr>
      <w:r>
        <w:rPr>
          <w:rFonts w:hint="eastAsia" w:hAnsi="宋体"/>
          <w:kern w:val="2"/>
        </w:rPr>
        <w:t xml:space="preserve">GB/T 50485  </w:t>
      </w:r>
      <w:r>
        <w:rPr>
          <w:rFonts w:hint="eastAsia" w:ascii="Times New Roman"/>
          <w:kern w:val="2"/>
        </w:rPr>
        <w:t xml:space="preserve"> </w:t>
      </w:r>
      <w:r>
        <w:rPr>
          <w:rFonts w:hint="eastAsia" w:hAnsi="宋体"/>
          <w:kern w:val="2"/>
        </w:rPr>
        <w:t>微灌工程技术标准</w:t>
      </w:r>
    </w:p>
    <w:p>
      <w:pPr>
        <w:widowControl/>
        <w:spacing w:line="500" w:lineRule="exact"/>
        <w:ind w:firstLine="420" w:firstLineChars="200"/>
        <w:jc w:val="left"/>
        <w:rPr>
          <w:rFonts w:hint="eastAsia" w:ascii="宋体" w:hAnsi="宋体"/>
          <w:color w:val="000000"/>
          <w:kern w:val="0"/>
        </w:rPr>
      </w:pPr>
      <w:r>
        <w:rPr>
          <w:rFonts w:hint="eastAsia" w:ascii="宋体" w:hAnsi="宋体"/>
          <w:color w:val="000000"/>
          <w:kern w:val="0"/>
        </w:rPr>
        <w:t>NY/T 496  肥料合理使用准则 通则</w:t>
      </w:r>
    </w:p>
    <w:p>
      <w:pPr>
        <w:widowControl/>
        <w:spacing w:line="500" w:lineRule="exact"/>
        <w:ind w:firstLine="420" w:firstLineChars="200"/>
        <w:jc w:val="left"/>
        <w:rPr>
          <w:rFonts w:hint="eastAsia" w:ascii="宋体" w:hAnsi="宋体"/>
          <w:color w:val="000000"/>
          <w:kern w:val="0"/>
        </w:rPr>
      </w:pPr>
      <w:r>
        <w:rPr>
          <w:rFonts w:hint="eastAsia" w:ascii="宋体" w:hAnsi="宋体"/>
          <w:color w:val="000000"/>
          <w:kern w:val="0"/>
        </w:rPr>
        <w:t>NY/T 1868  肥料合理使用准则 有机肥料</w:t>
      </w:r>
    </w:p>
    <w:p>
      <w:pPr>
        <w:pStyle w:val="104"/>
        <w:spacing w:before="312" w:after="312"/>
        <w:rPr>
          <w:kern w:val="2"/>
          <w:szCs w:val="21"/>
        </w:rPr>
      </w:pPr>
      <w:bookmarkStart w:id="42" w:name="_Toc97191425"/>
      <w:r>
        <w:rPr>
          <w:rFonts w:hint="eastAsia"/>
        </w:rPr>
        <w:t>产地环境</w:t>
      </w:r>
    </w:p>
    <w:p>
      <w:pPr>
        <w:pStyle w:val="56"/>
        <w:spacing w:line="400" w:lineRule="exact"/>
        <w:ind w:firstLine="420"/>
      </w:pPr>
      <w:r>
        <w:rPr>
          <w:rFonts w:hint="eastAsia" w:hAnsi="宋体"/>
        </w:rPr>
        <w:t>≥10℃活动积温2800℃以上，全年日照3000h以上，无霜期120d以上，降水量60～300mm地区种植；西葫芦喜湿润，不耐干旱，高温干旱条件下易发生病毒病；但高温高湿也易造成白粉病。</w:t>
      </w:r>
    </w:p>
    <w:bookmarkEnd w:id="42"/>
    <w:p>
      <w:pPr>
        <w:pStyle w:val="104"/>
        <w:numPr>
          <w:ilvl w:val="1"/>
          <w:numId w:val="0"/>
        </w:numPr>
        <w:spacing w:before="312" w:after="312"/>
        <w:ind w:leftChars="0"/>
        <w:rPr>
          <w:rFonts w:hint="eastAsia" w:hAnsi="Times New Roman" w:cs="Times New Roman"/>
          <w:lang w:val="en-US" w:eastAsia="zh-CN"/>
        </w:rPr>
      </w:pPr>
      <w:r>
        <w:rPr>
          <w:rFonts w:hint="eastAsia" w:hAnsi="Times New Roman" w:cs="Times New Roman"/>
          <w:lang w:val="en-US" w:eastAsia="zh-CN"/>
        </w:rPr>
        <w:t>4  选地与整地</w:t>
      </w:r>
    </w:p>
    <w:sdt>
      <w:sdtPr>
        <w:id w:val="-1909835108"/>
        <w:placeholder>
          <w:docPart w:val="D3798A1DCC7D4D94B5C09D2401003E0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left="0" w:leftChars="0" w:firstLine="0" w:firstLineChars="0"/>
          </w:pPr>
          <w:bookmarkStart w:id="43" w:name="_Toc26986532"/>
          <w:bookmarkEnd w:id="43"/>
          <w:r>
            <w:rPr>
              <w:rFonts w:hint="eastAsia"/>
              <w:lang w:val="en-US" w:eastAsia="zh-CN"/>
            </w:rPr>
            <w:t xml:space="preserve">    </w:t>
          </w:r>
          <w:r>
            <w:rPr>
              <w:rFonts w:ascii="宋体" w:hAnsi="Times New Roman" w:eastAsia="宋体" w:cs="Times New Roman"/>
              <w:sz w:val="21"/>
              <w:lang w:val="en-US" w:eastAsia="zh-CN" w:bidi="ar-SA"/>
            </w:rPr>
            <w:t>本文件没有需要界定的术语和定义。</w:t>
          </w:r>
        </w:p>
      </w:sdtContent>
    </w:sdt>
    <w:p>
      <w:pPr>
        <w:pStyle w:val="56"/>
        <w:widowControl w:val="0"/>
        <w:spacing w:line="360" w:lineRule="auto"/>
        <w:ind w:firstLine="420"/>
        <w:rPr>
          <w:rFonts w:hAnsi="宋体"/>
          <w:szCs w:val="21"/>
        </w:rPr>
      </w:pPr>
      <w:r>
        <w:rPr>
          <w:rFonts w:hint="eastAsia" w:hAnsi="宋体"/>
        </w:rPr>
        <w:t>借助压力系统(或地形自然落差），将可溶性固体或液体肥料，按土壤养分含量和作物种类的需肥规律和特点，配兑成肥液与灌溉水一起通过可控管道系统把水分、养分定时定量按比例直接供应于作物根部。</w:t>
      </w:r>
    </w:p>
    <w:p>
      <w:pPr>
        <w:pStyle w:val="104"/>
        <w:numPr>
          <w:ilvl w:val="1"/>
          <w:numId w:val="0"/>
        </w:numPr>
        <w:spacing w:before="312" w:after="312"/>
        <w:ind w:leftChars="0"/>
        <w:rPr>
          <w:rFonts w:hint="eastAsia" w:hAnsi="Times New Roman" w:cs="Times New Roman"/>
          <w:lang w:val="en-US" w:eastAsia="zh-CN"/>
        </w:rPr>
      </w:pPr>
      <w:r>
        <w:rPr>
          <w:rFonts w:hint="eastAsia" w:hAnsi="Times New Roman" w:cs="Times New Roman"/>
          <w:lang w:val="en-US" w:eastAsia="zh-CN"/>
        </w:rPr>
        <w:t>5  施肥</w:t>
      </w:r>
    </w:p>
    <w:p>
      <w:pPr>
        <w:pStyle w:val="232"/>
        <w:tabs>
          <w:tab w:val="center" w:pos="4201"/>
          <w:tab w:val="right" w:leader="dot" w:pos="9298"/>
        </w:tabs>
        <w:spacing w:line="400" w:lineRule="exact"/>
        <w:ind w:left="0" w:leftChars="0" w:firstLine="420" w:firstLineChars="200"/>
        <w:jc w:val="both"/>
        <w:rPr>
          <w:rFonts w:hint="default" w:hAnsi="宋体" w:cs="宋体"/>
          <w:szCs w:val="21"/>
          <w:lang w:val="en-US" w:eastAsia="zh-CN"/>
        </w:rPr>
      </w:pPr>
      <w:r>
        <w:rPr>
          <w:rFonts w:hint="eastAsia" w:hAnsi="宋体" w:cs="宋体"/>
          <w:szCs w:val="21"/>
          <w:lang w:val="en-US" w:eastAsia="zh-CN"/>
        </w:rPr>
        <w:t>结合深耕施入腐熟有机肥3000kg/667m</w:t>
      </w:r>
      <w:r>
        <w:rPr>
          <w:rFonts w:hint="eastAsia" w:ascii="宋体" w:hAnsi="宋体" w:eastAsia="宋体" w:cs="宋体"/>
          <w:szCs w:val="21"/>
          <w:lang w:val="en-US" w:eastAsia="zh-CN"/>
        </w:rPr>
        <w:t>²～</w:t>
      </w:r>
      <w:r>
        <w:rPr>
          <w:rFonts w:hint="eastAsia" w:hAnsi="宋体" w:cs="宋体"/>
          <w:szCs w:val="21"/>
          <w:lang w:val="en-US" w:eastAsia="zh-CN"/>
        </w:rPr>
        <w:t>4000kg/667m²，有机肥使用按照</w:t>
      </w:r>
      <w:r>
        <w:rPr>
          <w:rFonts w:hint="eastAsia" w:ascii="宋体" w:hAnsi="宋体" w:cs="宋体"/>
          <w:color w:val="000000"/>
          <w:kern w:val="0"/>
          <w:szCs w:val="21"/>
        </w:rPr>
        <w:t>NY/T 1868</w:t>
      </w:r>
      <w:r>
        <w:rPr>
          <w:rFonts w:hint="eastAsia" w:hAnsi="宋体" w:cs="宋体"/>
          <w:color w:val="000000"/>
          <w:kern w:val="0"/>
          <w:szCs w:val="21"/>
          <w:lang w:eastAsia="zh-CN"/>
        </w:rPr>
        <w:t>标准；</w:t>
      </w:r>
      <w:r>
        <w:rPr>
          <w:rFonts w:hint="eastAsia" w:hAnsi="宋体" w:cs="宋体"/>
          <w:szCs w:val="21"/>
          <w:lang w:val="en-US" w:eastAsia="zh-CN"/>
        </w:rPr>
        <w:t>施磷酸二铵20kg/667m</w:t>
      </w:r>
      <w:r>
        <w:rPr>
          <w:rFonts w:hint="eastAsia" w:ascii="宋体" w:hAnsi="宋体" w:eastAsia="宋体" w:cs="宋体"/>
          <w:szCs w:val="21"/>
          <w:lang w:val="en-US" w:eastAsia="zh-CN"/>
        </w:rPr>
        <w:t>²～</w:t>
      </w:r>
      <w:r>
        <w:rPr>
          <w:rFonts w:hint="eastAsia" w:hAnsi="宋体" w:cs="宋体"/>
          <w:szCs w:val="21"/>
          <w:lang w:val="en-US" w:eastAsia="zh-CN"/>
        </w:rPr>
        <w:t>25kg/667m²，硫酸钾复合肥10kg/667m²,硼肥0.4kg/667m</w:t>
      </w:r>
      <w:r>
        <w:rPr>
          <w:rFonts w:hint="eastAsia" w:ascii="宋体" w:hAnsi="宋体" w:eastAsia="宋体" w:cs="宋体"/>
          <w:szCs w:val="21"/>
          <w:lang w:val="en-US" w:eastAsia="zh-CN"/>
        </w:rPr>
        <w:t>²</w:t>
      </w:r>
      <w:r>
        <w:rPr>
          <w:rFonts w:hint="eastAsia" w:hAnsi="宋体" w:cs="宋体"/>
          <w:szCs w:val="21"/>
          <w:lang w:val="en-US" w:eastAsia="zh-CN"/>
        </w:rPr>
        <w:t>，肥料使用应符合</w:t>
      </w:r>
      <w:r>
        <w:rPr>
          <w:rFonts w:hint="eastAsia" w:ascii="宋体" w:hAnsi="宋体" w:cs="宋体"/>
          <w:color w:val="000000"/>
          <w:kern w:val="0"/>
          <w:szCs w:val="21"/>
        </w:rPr>
        <w:t>NY/T 496准则</w:t>
      </w:r>
      <w:r>
        <w:rPr>
          <w:rFonts w:hint="eastAsia" w:hAnsi="宋体" w:cs="宋体"/>
          <w:szCs w:val="21"/>
          <w:lang w:val="en-US" w:eastAsia="zh-CN"/>
        </w:rPr>
        <w:t>。</w:t>
      </w:r>
    </w:p>
    <w:p>
      <w:pPr>
        <w:pStyle w:val="104"/>
        <w:numPr>
          <w:ilvl w:val="1"/>
          <w:numId w:val="0"/>
        </w:numPr>
        <w:spacing w:before="312" w:after="312"/>
        <w:ind w:leftChars="0"/>
        <w:rPr>
          <w:rFonts w:hint="default" w:hAnsi="Times New Roman" w:cs="Times New Roman"/>
          <w:lang w:val="en-US" w:eastAsia="zh-CN"/>
        </w:rPr>
      </w:pPr>
      <w:r>
        <w:rPr>
          <w:rFonts w:hint="eastAsia" w:hAnsi="Times New Roman" w:cs="Times New Roman"/>
          <w:lang w:val="en-US" w:eastAsia="zh-CN"/>
        </w:rPr>
        <w:t>6   滴灌</w:t>
      </w:r>
    </w:p>
    <w:p>
      <w:pPr>
        <w:pStyle w:val="105"/>
        <w:numPr>
          <w:ilvl w:val="2"/>
          <w:numId w:val="0"/>
        </w:numPr>
        <w:spacing w:before="156" w:after="156"/>
        <w:ind w:leftChars="0"/>
        <w:rPr>
          <w:kern w:val="2"/>
          <w:szCs w:val="21"/>
        </w:rPr>
      </w:pPr>
      <w:r>
        <w:rPr>
          <w:rFonts w:hint="eastAsia"/>
          <w:lang w:val="en-US" w:eastAsia="zh-CN"/>
        </w:rPr>
        <w:t xml:space="preserve">6.1  </w:t>
      </w:r>
      <w:r>
        <w:rPr>
          <w:rFonts w:hint="eastAsia"/>
        </w:rPr>
        <w:t>水源</w:t>
      </w:r>
    </w:p>
    <w:p>
      <w:pPr>
        <w:pStyle w:val="56"/>
        <w:widowControl w:val="0"/>
        <w:spacing w:line="360" w:lineRule="auto"/>
        <w:ind w:firstLine="420"/>
        <w:rPr>
          <w:rFonts w:hAnsi="宋体"/>
        </w:rPr>
      </w:pPr>
      <w:r>
        <w:rPr>
          <w:rFonts w:hint="eastAsia" w:hAnsi="宋体"/>
        </w:rPr>
        <w:t>包括井水、泉水、坑塘、沟渠、水库、地下水和混合水等，灌溉水质应符合GB 5084的要求。</w:t>
      </w:r>
    </w:p>
    <w:p>
      <w:pPr>
        <w:pStyle w:val="105"/>
        <w:numPr>
          <w:ilvl w:val="2"/>
          <w:numId w:val="0"/>
        </w:numPr>
        <w:spacing w:before="156" w:after="156"/>
        <w:ind w:leftChars="0"/>
      </w:pPr>
      <w:r>
        <w:rPr>
          <w:rFonts w:hint="eastAsia"/>
          <w:lang w:val="en-US" w:eastAsia="zh-CN"/>
        </w:rPr>
        <w:t xml:space="preserve">6.2  </w:t>
      </w:r>
      <w:r>
        <w:rPr>
          <w:rFonts w:hint="eastAsia"/>
        </w:rPr>
        <w:t>首部枢纽</w:t>
      </w:r>
    </w:p>
    <w:p>
      <w:pPr>
        <w:pStyle w:val="56"/>
        <w:widowControl w:val="0"/>
        <w:spacing w:line="360" w:lineRule="auto"/>
        <w:ind w:firstLine="420"/>
        <w:rPr>
          <w:rFonts w:hAnsi="宋体"/>
        </w:rPr>
      </w:pPr>
      <w:r>
        <w:rPr>
          <w:rFonts w:hAnsi="宋体"/>
        </w:rPr>
        <w:t>包括水泵、加压泵或其他动力源，离心加网式或加叠片两级过滤器，控制阀与测量仪表，施肥罐等。</w:t>
      </w:r>
    </w:p>
    <w:p>
      <w:pPr>
        <w:pStyle w:val="105"/>
        <w:numPr>
          <w:ilvl w:val="2"/>
          <w:numId w:val="0"/>
        </w:numPr>
        <w:spacing w:before="156" w:after="156"/>
        <w:ind w:leftChars="0"/>
        <w:rPr>
          <w:rFonts w:hAnsi="宋体"/>
          <w:szCs w:val="21"/>
        </w:rPr>
      </w:pPr>
      <w:r>
        <w:rPr>
          <w:rFonts w:hint="eastAsia"/>
          <w:lang w:val="en-US" w:eastAsia="zh-CN"/>
        </w:rPr>
        <w:t xml:space="preserve">6.3  </w:t>
      </w:r>
      <w:r>
        <w:rPr>
          <w:rFonts w:hint="eastAsia"/>
        </w:rPr>
        <w:t>输配水管网</w:t>
      </w:r>
    </w:p>
    <w:p>
      <w:pPr>
        <w:pStyle w:val="232"/>
        <w:spacing w:line="400" w:lineRule="exact"/>
        <w:ind w:firstLine="0" w:firstLineChars="0"/>
        <w:rPr>
          <w:rFonts w:hAnsi="宋体"/>
        </w:rPr>
      </w:pPr>
      <w:r>
        <w:rPr>
          <w:rFonts w:hint="eastAsia" w:hAnsi="宋体"/>
        </w:rPr>
        <w:t xml:space="preserve">    根据水源供水能力和首部控制面积确定主管道的承受能力，管道的布设要充分考虑农作物种植方向、种植密度、轮作倒茬、农机作业等因素，在保证灌溉均匀的前提下，尽可能减少管道布设，方便耕作管理；已有的膜下滴灌田间水利设施，可直接用于浅埋滴灌。</w:t>
      </w:r>
    </w:p>
    <w:p>
      <w:pPr>
        <w:pStyle w:val="105"/>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6.4  滴灌带的选择</w:t>
      </w:r>
    </w:p>
    <w:p>
      <w:pPr>
        <w:pStyle w:val="232"/>
        <w:spacing w:line="400" w:lineRule="exact"/>
        <w:ind w:firstLineChars="0"/>
        <w:rPr>
          <w:rFonts w:hAnsi="宋体"/>
        </w:rPr>
      </w:pPr>
      <w:r>
        <w:rPr>
          <w:rFonts w:hint="eastAsia" w:hAnsi="宋体"/>
        </w:rPr>
        <w:t>滴灌带的选择应符合GB/T 19812.5的规定。</w:t>
      </w:r>
    </w:p>
    <w:p>
      <w:pPr>
        <w:pStyle w:val="105"/>
        <w:numPr>
          <w:ilvl w:val="2"/>
          <w:numId w:val="0"/>
        </w:numPr>
        <w:spacing w:before="156" w:after="156"/>
        <w:ind w:leftChars="0"/>
      </w:pPr>
      <w:r>
        <w:rPr>
          <w:rFonts w:hint="eastAsia"/>
          <w:lang w:val="en-US" w:eastAsia="zh-CN"/>
        </w:rPr>
        <w:t xml:space="preserve">6.5  </w:t>
      </w:r>
      <w:r>
        <w:rPr>
          <w:rFonts w:hint="eastAsia"/>
        </w:rPr>
        <w:t>滴灌的安装使用</w:t>
      </w:r>
    </w:p>
    <w:p>
      <w:pPr>
        <w:pStyle w:val="232"/>
        <w:spacing w:line="400" w:lineRule="exact"/>
        <w:ind w:firstLineChars="0"/>
        <w:rPr>
          <w:rFonts w:hint="eastAsia" w:hAnsi="宋体"/>
        </w:rPr>
      </w:pPr>
      <w:r>
        <w:rPr>
          <w:rFonts w:hint="eastAsia" w:hAnsi="宋体"/>
        </w:rPr>
        <w:t>整好地后，进行滴灌带的铺设，播种结束后立即安装、调试地上给水管道，并开始供水。滴灌安装调试、运行维护等应符合GB/T 50363、GB/T 50485的要求。</w:t>
      </w:r>
    </w:p>
    <w:p>
      <w:pPr>
        <w:pStyle w:val="104"/>
        <w:numPr>
          <w:ilvl w:val="1"/>
          <w:numId w:val="0"/>
        </w:numPr>
        <w:spacing w:before="312" w:after="312"/>
        <w:ind w:leftChars="0"/>
        <w:rPr>
          <w:rFonts w:hint="eastAsia" w:hAnsi="Times New Roman" w:cs="Times New Roman"/>
          <w:lang w:val="en-US" w:eastAsia="zh-CN"/>
        </w:rPr>
      </w:pPr>
      <w:r>
        <w:rPr>
          <w:rFonts w:hint="eastAsia" w:hAnsi="Times New Roman" w:cs="Times New Roman"/>
          <w:lang w:val="en-US" w:eastAsia="zh-CN"/>
        </w:rPr>
        <w:t>7  品种选择</w:t>
      </w:r>
    </w:p>
    <w:p>
      <w:pPr>
        <w:pStyle w:val="232"/>
        <w:spacing w:line="400" w:lineRule="exact"/>
        <w:rPr>
          <w:rFonts w:hint="eastAsia" w:hAnsi="宋体"/>
        </w:rPr>
      </w:pPr>
      <w:r>
        <w:rPr>
          <w:rFonts w:hint="eastAsia" w:hAnsi="宋体" w:cs="宋体"/>
          <w:szCs w:val="21"/>
        </w:rPr>
        <w:t xml:space="preserve"> 选择在</w:t>
      </w:r>
      <w:r>
        <w:rPr>
          <w:rFonts w:hint="eastAsia" w:hAnsi="宋体" w:cs="宋体"/>
          <w:szCs w:val="21"/>
          <w:lang w:eastAsia="zh-CN"/>
        </w:rPr>
        <w:t>巴彦淖尔市</w:t>
      </w:r>
      <w:r>
        <w:rPr>
          <w:rFonts w:hint="eastAsia" w:hAnsi="宋体" w:cs="宋体"/>
          <w:szCs w:val="21"/>
        </w:rPr>
        <w:t>地区通过品种种植试验</w:t>
      </w:r>
      <w:r>
        <w:rPr>
          <w:rFonts w:hint="eastAsia" w:hAnsi="宋体" w:cs="宋体"/>
          <w:szCs w:val="21"/>
          <w:lang w:eastAsia="zh-CN"/>
        </w:rPr>
        <w:t>的“葫地系列”籽用西葫芦品种</w:t>
      </w:r>
      <w:r>
        <w:rPr>
          <w:rFonts w:hint="eastAsia" w:hAnsi="宋体" w:cs="宋体"/>
          <w:szCs w:val="21"/>
        </w:rPr>
        <w:t>，</w:t>
      </w:r>
      <w:r>
        <w:rPr>
          <w:rFonts w:hint="eastAsia" w:hAnsi="宋体" w:cs="宋体"/>
          <w:szCs w:val="21"/>
          <w:lang w:eastAsia="zh-CN"/>
        </w:rPr>
        <w:t>也可选择同类型品种</w:t>
      </w:r>
      <w:r>
        <w:rPr>
          <w:rFonts w:hint="eastAsia" w:hAnsi="宋体" w:cs="宋体"/>
          <w:szCs w:val="21"/>
        </w:rPr>
        <w:t>且适宜本地区种植的丰产、优质、商品性好、抗逆性强、适应性广的</w:t>
      </w:r>
      <w:r>
        <w:rPr>
          <w:rFonts w:hint="eastAsia" w:hAnsi="宋体" w:cs="宋体"/>
          <w:szCs w:val="21"/>
          <w:lang w:eastAsia="zh-CN"/>
        </w:rPr>
        <w:t>籽用西葫芦品种</w:t>
      </w:r>
      <w:r>
        <w:rPr>
          <w:rFonts w:hint="eastAsia" w:hAnsi="宋体" w:cs="宋体"/>
          <w:szCs w:val="21"/>
        </w:rPr>
        <w:t>。</w:t>
      </w:r>
    </w:p>
    <w:p>
      <w:pPr>
        <w:pStyle w:val="104"/>
        <w:numPr>
          <w:ilvl w:val="1"/>
          <w:numId w:val="0"/>
        </w:numPr>
        <w:spacing w:before="312" w:after="312"/>
        <w:ind w:leftChars="0"/>
        <w:rPr>
          <w:rFonts w:hint="eastAsia" w:hAnsi="Times New Roman" w:cs="Times New Roman"/>
          <w:lang w:val="en-US" w:eastAsia="zh-CN"/>
        </w:rPr>
      </w:pPr>
      <w:r>
        <w:rPr>
          <w:rFonts w:hint="eastAsia" w:hAnsi="Times New Roman" w:cs="Times New Roman"/>
          <w:lang w:val="en-US" w:eastAsia="zh-CN"/>
        </w:rPr>
        <w:t>8  播种</w:t>
      </w:r>
    </w:p>
    <w:p>
      <w:pPr>
        <w:pStyle w:val="65"/>
        <w:numPr>
          <w:ilvl w:val="3"/>
          <w:numId w:val="0"/>
        </w:numPr>
        <w:spacing w:before="156" w:after="156"/>
        <w:ind w:leftChars="0"/>
      </w:pPr>
      <w:r>
        <w:rPr>
          <w:rFonts w:hint="eastAsia"/>
          <w:lang w:val="en-US" w:eastAsia="zh-CN"/>
        </w:rPr>
        <w:t xml:space="preserve">8.1  </w:t>
      </w:r>
      <w:r>
        <w:rPr>
          <w:rFonts w:hint="eastAsia"/>
        </w:rPr>
        <w:t>播种时间</w:t>
      </w:r>
    </w:p>
    <w:p>
      <w:pPr>
        <w:pStyle w:val="56"/>
        <w:spacing w:line="400" w:lineRule="exact"/>
        <w:ind w:firstLine="0" w:firstLineChars="0"/>
      </w:pPr>
      <w:r>
        <w:rPr>
          <w:rFonts w:hint="eastAsia" w:ascii="黑体" w:hAnsi="黑体" w:eastAsia="黑体"/>
        </w:rPr>
        <w:t xml:space="preserve"> </w:t>
      </w:r>
      <w:r>
        <w:rPr>
          <w:rFonts w:hint="eastAsia" w:hAnsi="宋体" w:cs="Times New Roman"/>
        </w:rPr>
        <w:t xml:space="preserve">   </w:t>
      </w:r>
      <w:r>
        <w:rPr>
          <w:rFonts w:hint="eastAsia" w:hAnsi="宋体" w:cs="Times New Roman"/>
          <w:lang w:eastAsia="zh-CN"/>
        </w:rPr>
        <w:t>巴彦淖尔市</w:t>
      </w:r>
      <w:r>
        <w:rPr>
          <w:rFonts w:hint="eastAsia" w:hAnsi="宋体" w:cs="Times New Roman"/>
        </w:rPr>
        <w:t>籽用西葫芦为春季露地栽培，播种期应以出苗后躲过终霜期为宜，当气温稳定在15℃以上，耕层地温稳定在10℃以上时即可播种。</w:t>
      </w:r>
    </w:p>
    <w:p>
      <w:pPr>
        <w:pStyle w:val="105"/>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8.2  播种方法</w:t>
      </w:r>
    </w:p>
    <w:p>
      <w:pPr>
        <w:pStyle w:val="56"/>
        <w:spacing w:line="400" w:lineRule="exact"/>
        <w:ind w:firstLine="0" w:firstLineChars="0"/>
      </w:pPr>
      <w:r>
        <w:rPr>
          <w:rFonts w:hint="eastAsia" w:ascii="黑体" w:hAnsi="黑体" w:eastAsia="黑体"/>
        </w:rPr>
        <w:t xml:space="preserve">    </w:t>
      </w:r>
      <w:r>
        <w:rPr>
          <w:rFonts w:hint="eastAsia" w:hAnsi="宋体"/>
        </w:rPr>
        <w:t>可采用人工点播或机械精量播种进行，播种深度3cm～5cm 。</w:t>
      </w:r>
    </w:p>
    <w:p>
      <w:pPr>
        <w:pStyle w:val="65"/>
        <w:numPr>
          <w:ilvl w:val="3"/>
          <w:numId w:val="0"/>
        </w:numPr>
        <w:spacing w:before="156" w:after="156"/>
        <w:ind w:leftChars="0"/>
      </w:pPr>
      <w:r>
        <w:rPr>
          <w:rFonts w:hint="eastAsia"/>
          <w:lang w:val="en-US" w:eastAsia="zh-CN"/>
        </w:rPr>
        <w:t xml:space="preserve">8.3  </w:t>
      </w:r>
      <w:r>
        <w:rPr>
          <w:rFonts w:hint="eastAsia"/>
        </w:rPr>
        <w:t>播种量</w:t>
      </w:r>
    </w:p>
    <w:p>
      <w:pPr>
        <w:pStyle w:val="56"/>
        <w:spacing w:line="400" w:lineRule="exact"/>
        <w:ind w:firstLine="420" w:firstLineChars="0"/>
      </w:pPr>
      <w:r>
        <w:rPr>
          <w:rFonts w:hint="eastAsia" w:hAnsi="宋体"/>
        </w:rPr>
        <w:t>播种量为0.4kg/667m²～0.5kg/667m²。</w:t>
      </w:r>
    </w:p>
    <w:p>
      <w:pPr>
        <w:pStyle w:val="65"/>
        <w:numPr>
          <w:ilvl w:val="3"/>
          <w:numId w:val="0"/>
        </w:numPr>
        <w:spacing w:before="156" w:after="156"/>
        <w:ind w:leftChars="0"/>
      </w:pPr>
      <w:r>
        <w:rPr>
          <w:rFonts w:hint="eastAsia"/>
          <w:lang w:val="en-US" w:eastAsia="zh-CN"/>
        </w:rPr>
        <w:t xml:space="preserve">8.4  </w:t>
      </w:r>
      <w:r>
        <w:rPr>
          <w:rFonts w:hint="eastAsia"/>
        </w:rPr>
        <w:t>播种密度</w:t>
      </w:r>
    </w:p>
    <w:p>
      <w:pPr>
        <w:pStyle w:val="56"/>
        <w:spacing w:line="400" w:lineRule="exact"/>
        <w:ind w:firstLine="420" w:firstLineChars="0"/>
      </w:pPr>
      <w:r>
        <w:rPr>
          <w:rFonts w:hint="eastAsia" w:hAnsi="宋体"/>
        </w:rPr>
        <w:t>可大小行种植，膜中至膜中1.3m，膜上行距0.</w:t>
      </w:r>
      <w:r>
        <w:rPr>
          <w:rFonts w:hint="eastAsia" w:hAnsi="宋体"/>
          <w:lang w:val="en-US" w:eastAsia="zh-CN"/>
        </w:rPr>
        <w:t>4</w:t>
      </w:r>
      <w:r>
        <w:rPr>
          <w:rFonts w:hint="eastAsia" w:hAnsi="宋体"/>
        </w:rPr>
        <w:t>m，膜间行距0.</w:t>
      </w:r>
      <w:r>
        <w:rPr>
          <w:rFonts w:hint="eastAsia" w:hAnsi="宋体"/>
          <w:lang w:val="en-US" w:eastAsia="zh-CN"/>
        </w:rPr>
        <w:t>9</w:t>
      </w:r>
      <w:r>
        <w:rPr>
          <w:rFonts w:hint="eastAsia" w:hAnsi="宋体"/>
        </w:rPr>
        <w:t>m，株距0.45m，保苗22</w:t>
      </w:r>
      <w:r>
        <w:rPr>
          <w:rFonts w:hint="eastAsia" w:hAnsi="宋体"/>
          <w:lang w:val="en-US" w:eastAsia="zh-CN"/>
        </w:rPr>
        <w:t>00</w:t>
      </w:r>
      <w:r>
        <w:rPr>
          <w:rFonts w:hint="eastAsia" w:hAnsi="宋体"/>
        </w:rPr>
        <w:t>株/667m²～</w:t>
      </w:r>
      <w:r>
        <w:rPr>
          <w:rFonts w:hint="eastAsia" w:hAnsi="宋体"/>
          <w:lang w:val="en-US" w:eastAsia="zh-CN"/>
        </w:rPr>
        <w:t>2500</w:t>
      </w:r>
      <w:r>
        <w:rPr>
          <w:rFonts w:hint="eastAsia" w:hAnsi="宋体"/>
        </w:rPr>
        <w:t>株/667m²。</w:t>
      </w:r>
    </w:p>
    <w:p>
      <w:pPr>
        <w:pStyle w:val="105"/>
        <w:numPr>
          <w:ilvl w:val="2"/>
          <w:numId w:val="0"/>
        </w:numPr>
        <w:spacing w:before="156" w:after="156"/>
        <w:ind w:leftChars="0"/>
      </w:pPr>
      <w:r>
        <w:rPr>
          <w:rFonts w:hint="eastAsia"/>
          <w:lang w:val="en-US" w:eastAsia="zh-CN"/>
        </w:rPr>
        <w:t xml:space="preserve">9  </w:t>
      </w:r>
      <w:r>
        <w:rPr>
          <w:rFonts w:hint="eastAsia"/>
        </w:rPr>
        <w:t>田间管理</w:t>
      </w:r>
    </w:p>
    <w:p>
      <w:pPr>
        <w:pStyle w:val="105"/>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9.1  间苗定苗</w:t>
      </w:r>
    </w:p>
    <w:p>
      <w:pPr>
        <w:pStyle w:val="56"/>
        <w:spacing w:line="400" w:lineRule="exact"/>
        <w:ind w:firstLine="0" w:firstLineChars="0"/>
      </w:pPr>
      <w:r>
        <w:rPr>
          <w:rFonts w:hint="eastAsia"/>
        </w:rPr>
        <w:t xml:space="preserve">    </w:t>
      </w:r>
      <w:r>
        <w:rPr>
          <w:rFonts w:hint="eastAsia" w:hAnsi="宋体"/>
        </w:rPr>
        <w:t>出苗后，幼苗两叶一心时方可进行定苗，定苗不易过晚，每穴保留1株生长健壮的瓜苗，淘汰病苗、弱苗和无生长点叶子发蔫，叶片黄化的苗。定苗时不得进行拔苗，以免损伤旁边瓜苗根部。</w:t>
      </w:r>
    </w:p>
    <w:p>
      <w:pPr>
        <w:pStyle w:val="65"/>
        <w:numPr>
          <w:ilvl w:val="3"/>
          <w:numId w:val="0"/>
        </w:numPr>
        <w:spacing w:before="156" w:after="156"/>
        <w:ind w:leftChars="0"/>
      </w:pPr>
      <w:r>
        <w:rPr>
          <w:rFonts w:hint="eastAsia"/>
          <w:lang w:val="en-US" w:eastAsia="zh-CN"/>
        </w:rPr>
        <w:t xml:space="preserve">9.2  </w:t>
      </w:r>
      <w:r>
        <w:rPr>
          <w:rFonts w:hint="eastAsia"/>
        </w:rPr>
        <w:t>中耕除草</w:t>
      </w:r>
    </w:p>
    <w:p>
      <w:pPr>
        <w:pStyle w:val="56"/>
        <w:spacing w:line="400" w:lineRule="exact"/>
        <w:ind w:firstLine="0" w:firstLineChars="0"/>
      </w:pPr>
      <w:r>
        <w:rPr>
          <w:rFonts w:hint="eastAsia"/>
        </w:rPr>
        <w:t xml:space="preserve">    </w:t>
      </w:r>
      <w:r>
        <w:rPr>
          <w:rFonts w:hint="eastAsia" w:hAnsi="宋体"/>
        </w:rPr>
        <w:t>在出苗后至封垄前进行两次中耕除草。</w:t>
      </w:r>
    </w:p>
    <w:p>
      <w:pPr>
        <w:pStyle w:val="65"/>
        <w:numPr>
          <w:ilvl w:val="3"/>
          <w:numId w:val="0"/>
        </w:numPr>
        <w:spacing w:before="156" w:after="156"/>
        <w:ind w:leftChars="0"/>
      </w:pPr>
      <w:r>
        <w:rPr>
          <w:rFonts w:hint="eastAsia"/>
          <w:lang w:val="en-US" w:eastAsia="zh-CN"/>
        </w:rPr>
        <w:t xml:space="preserve">9.3  </w:t>
      </w:r>
      <w:r>
        <w:rPr>
          <w:rFonts w:hint="eastAsia"/>
        </w:rPr>
        <w:t>整枝压蔓</w:t>
      </w:r>
    </w:p>
    <w:p>
      <w:pPr>
        <w:pStyle w:val="56"/>
        <w:spacing w:line="400" w:lineRule="exact"/>
        <w:ind w:firstLine="420" w:firstLineChars="0"/>
        <w:rPr>
          <w:rFonts w:hAnsi="宋体"/>
        </w:rPr>
      </w:pPr>
      <w:r>
        <w:rPr>
          <w:rFonts w:hint="eastAsia" w:hAnsi="宋体"/>
          <w:lang w:eastAsia="zh-CN"/>
        </w:rPr>
        <w:t>中</w:t>
      </w:r>
      <w:r>
        <w:rPr>
          <w:rFonts w:hint="eastAsia" w:hAnsi="宋体"/>
        </w:rPr>
        <w:t>蔓品种采用单蔓或双蔓整枝，在5片真叶时，选留1条～2条健壮子蔓，将其余子蔓摘除，每条子蔓留1个～2个瓜。压蔓前先整理瓜蔓，使其均匀分布于地面，蔓长0.6m左右时压蔓一次，此后每隔3节～4节压蔓一次，蔓长1.6m～1.8m时摘心。短蔓或无蔓品种不需要进行整枝压蔓。</w:t>
      </w:r>
    </w:p>
    <w:p>
      <w:pPr>
        <w:pStyle w:val="65"/>
        <w:numPr>
          <w:ilvl w:val="3"/>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9.4   保花保果</w:t>
      </w:r>
    </w:p>
    <w:p>
      <w:pPr>
        <w:pStyle w:val="104"/>
        <w:numPr>
          <w:ilvl w:val="1"/>
          <w:numId w:val="0"/>
        </w:numPr>
        <w:spacing w:before="312" w:after="312"/>
        <w:ind w:leftChars="0"/>
        <w:rPr>
          <w:rFonts w:hint="default" w:ascii="宋体" w:hAnsi="宋体" w:eastAsia="宋体" w:cs="Times New Roman"/>
          <w:sz w:val="21"/>
          <w:lang w:val="en-US" w:eastAsia="zh-CN" w:bidi="ar-SA"/>
        </w:rPr>
      </w:pPr>
      <w:r>
        <w:rPr>
          <w:rFonts w:hint="eastAsia" w:ascii="黑体" w:hAnsi="黑体" w:eastAsia="黑体" w:cs="黑体"/>
          <w:szCs w:val="21"/>
          <w:lang w:val="en-US" w:eastAsia="zh-CN"/>
        </w:rPr>
        <w:t xml:space="preserve">  </w:t>
      </w:r>
      <w:r>
        <w:rPr>
          <w:rFonts w:hint="eastAsia" w:ascii="宋体" w:hAnsi="宋体" w:eastAsia="宋体" w:cs="Times New Roman"/>
          <w:sz w:val="21"/>
          <w:lang w:val="en-US" w:eastAsia="zh-CN" w:bidi="ar-SA"/>
        </w:rPr>
        <w:t xml:space="preserve">  开花初期，引进蜂源授粉，遇阴雨天或蜂源不足时，每日9时前进行人工辅助授粉，提高坐果率。</w:t>
      </w:r>
    </w:p>
    <w:p>
      <w:pPr>
        <w:pStyle w:val="104"/>
        <w:numPr>
          <w:ilvl w:val="1"/>
          <w:numId w:val="0"/>
        </w:numPr>
        <w:spacing w:before="312" w:after="312"/>
        <w:ind w:leftChars="0"/>
      </w:pPr>
      <w:r>
        <w:rPr>
          <w:rFonts w:hint="eastAsia"/>
          <w:lang w:val="en-US" w:eastAsia="zh-CN"/>
        </w:rPr>
        <w:t xml:space="preserve">10  </w:t>
      </w:r>
      <w:r>
        <w:rPr>
          <w:rFonts w:hint="eastAsia"/>
        </w:rPr>
        <w:t>水肥管理</w:t>
      </w:r>
    </w:p>
    <w:p>
      <w:pPr>
        <w:pStyle w:val="105"/>
        <w:numPr>
          <w:ilvl w:val="2"/>
          <w:numId w:val="0"/>
        </w:numPr>
        <w:spacing w:before="156" w:after="156"/>
        <w:ind w:leftChars="0"/>
      </w:pPr>
      <w:r>
        <w:rPr>
          <w:rFonts w:hint="eastAsia"/>
          <w:lang w:val="en-US" w:eastAsia="zh-CN"/>
        </w:rPr>
        <w:t xml:space="preserve">10.1  </w:t>
      </w:r>
      <w:r>
        <w:rPr>
          <w:rFonts w:hint="eastAsia"/>
        </w:rPr>
        <w:t>灌水</w:t>
      </w:r>
    </w:p>
    <w:p>
      <w:pPr>
        <w:pStyle w:val="232"/>
        <w:spacing w:line="400" w:lineRule="exact"/>
        <w:ind w:firstLineChars="0"/>
        <w:rPr>
          <w:rFonts w:hAnsi="宋体"/>
        </w:rPr>
      </w:pPr>
      <w:r>
        <w:rPr>
          <w:rFonts w:hint="eastAsia" w:hAnsi="宋体"/>
        </w:rPr>
        <w:t>播种结束后，及时滴出苗水，一般灌水量20m³/667m²～25m³/667m²。生育期内，灌水次数视降雨量和土壤墒情而定；苗期应适当控水蹲苗，一般蹲苗15d～20d，当瓜苗中午高温时稍有萎蔫，早晚可恢复时，结束蹲苗，于傍晚进行滴水；盛花期、果实膨大期需要进行灌水，一般每5d～7d滴水一次；全生育期根据天气情况及降雨量适时灌水，一般灌水5次～8次，采收前15d停止灌水；农田灌溉用水质量应符合</w:t>
      </w:r>
      <w:r>
        <w:rPr>
          <w:rFonts w:hint="eastAsia" w:hAnsi="宋体"/>
          <w:color w:val="000000"/>
        </w:rPr>
        <w:t>GB 5084的规定</w:t>
      </w:r>
      <w:r>
        <w:rPr>
          <w:rFonts w:hint="eastAsia" w:hAnsi="宋体"/>
        </w:rPr>
        <w:t>。</w:t>
      </w:r>
    </w:p>
    <w:p>
      <w:pPr>
        <w:pStyle w:val="105"/>
        <w:numPr>
          <w:ilvl w:val="2"/>
          <w:numId w:val="0"/>
        </w:numPr>
        <w:spacing w:before="156" w:after="156"/>
        <w:ind w:leftChars="0"/>
        <w:rPr>
          <w:rFonts w:hAnsi="宋体"/>
        </w:rPr>
      </w:pPr>
      <w:r>
        <w:rPr>
          <w:rFonts w:hint="eastAsia"/>
          <w:lang w:val="en-US" w:eastAsia="zh-CN"/>
        </w:rPr>
        <w:t xml:space="preserve">10.2  </w:t>
      </w:r>
      <w:r>
        <w:rPr>
          <w:rFonts w:hint="eastAsia"/>
        </w:rPr>
        <w:t>追肥</w:t>
      </w:r>
    </w:p>
    <w:p>
      <w:pPr>
        <w:pStyle w:val="232"/>
        <w:spacing w:line="400" w:lineRule="exact"/>
        <w:rPr>
          <w:rFonts w:hAnsi="宋体"/>
        </w:rPr>
      </w:pPr>
      <w:r>
        <w:rPr>
          <w:rFonts w:hint="eastAsia" w:hAnsi="宋体"/>
        </w:rPr>
        <w:t>追肥结合滴水进行，先滴清水充分湿润土壤，检查田间给水一切正常后，加入肥料开始追肥，施肥结束后，继续滴清水30min以上；苗期以施氮（N）肥为主，</w:t>
      </w:r>
      <w:r>
        <w:rPr>
          <w:rFonts w:hint="eastAsia" w:hAnsi="宋体"/>
          <w:lang w:eastAsia="zh-CN"/>
        </w:rPr>
        <w:t>在保苗期与开花期</w:t>
      </w:r>
      <w:r>
        <w:rPr>
          <w:rFonts w:hint="eastAsia" w:hAnsi="宋体"/>
        </w:rPr>
        <w:t>随水冲尿素2kg/667m²/次</w:t>
      </w:r>
      <w:r>
        <w:rPr>
          <w:rFonts w:hint="eastAsia" w:hAnsi="宋体"/>
          <w:lang w:eastAsia="zh-CN"/>
        </w:rPr>
        <w:t>、磷酸一铵</w:t>
      </w:r>
      <w:r>
        <w:rPr>
          <w:rFonts w:hint="eastAsia" w:hAnsi="宋体"/>
          <w:lang w:val="en-US" w:eastAsia="zh-CN"/>
        </w:rPr>
        <w:t>3</w:t>
      </w:r>
      <w:r>
        <w:rPr>
          <w:rFonts w:hint="eastAsia" w:hAnsi="宋体"/>
        </w:rPr>
        <w:t>kg/667m²/次</w:t>
      </w:r>
      <w:r>
        <w:rPr>
          <w:rFonts w:hint="eastAsia" w:hAnsi="宋体"/>
          <w:lang w:eastAsia="zh-CN"/>
        </w:rPr>
        <w:t>、硫酸钾</w:t>
      </w:r>
      <w:r>
        <w:rPr>
          <w:rFonts w:hint="eastAsia" w:hAnsi="宋体"/>
          <w:lang w:val="en-US" w:eastAsia="zh-CN"/>
        </w:rPr>
        <w:t>2</w:t>
      </w:r>
      <w:r>
        <w:rPr>
          <w:rFonts w:hint="eastAsia" w:hAnsi="宋体"/>
        </w:rPr>
        <w:t>kg/667m²/次；果实膨大期</w:t>
      </w:r>
      <w:r>
        <w:rPr>
          <w:rFonts w:hint="eastAsia" w:hAnsi="宋体"/>
          <w:lang w:eastAsia="zh-CN"/>
        </w:rPr>
        <w:t>与生长期</w:t>
      </w:r>
      <w:r>
        <w:rPr>
          <w:rFonts w:hint="eastAsia" w:hAnsi="宋体"/>
        </w:rPr>
        <w:t>需要保证充足的水肥供应，随水冲施尿素</w:t>
      </w:r>
      <w:r>
        <w:rPr>
          <w:rFonts w:hint="eastAsia" w:hAnsi="宋体"/>
          <w:lang w:val="en-US" w:eastAsia="zh-CN"/>
        </w:rPr>
        <w:t>7</w:t>
      </w:r>
      <w:r>
        <w:rPr>
          <w:rFonts w:hint="eastAsia" w:hAnsi="宋体"/>
        </w:rPr>
        <w:t>kg/667m²/次</w:t>
      </w:r>
      <w:r>
        <w:rPr>
          <w:rFonts w:hint="eastAsia" w:hAnsi="宋体"/>
          <w:lang w:eastAsia="zh-CN"/>
        </w:rPr>
        <w:t>、磷酸一铵</w:t>
      </w:r>
      <w:r>
        <w:rPr>
          <w:rFonts w:hint="eastAsia" w:hAnsi="宋体"/>
          <w:lang w:val="en-US" w:eastAsia="zh-CN"/>
        </w:rPr>
        <w:t>2</w:t>
      </w:r>
      <w:r>
        <w:rPr>
          <w:rFonts w:hint="eastAsia" w:hAnsi="宋体"/>
        </w:rPr>
        <w:t>kg/667m²/次</w:t>
      </w:r>
      <w:r>
        <w:rPr>
          <w:rFonts w:hint="eastAsia" w:hAnsi="宋体"/>
          <w:lang w:eastAsia="zh-CN"/>
        </w:rPr>
        <w:t>、硫酸钾</w:t>
      </w:r>
      <w:r>
        <w:rPr>
          <w:rFonts w:hint="eastAsia" w:hAnsi="宋体"/>
          <w:lang w:val="en-US" w:eastAsia="zh-CN"/>
        </w:rPr>
        <w:t>4</w:t>
      </w:r>
      <w:r>
        <w:rPr>
          <w:rFonts w:hint="eastAsia" w:hAnsi="宋体"/>
        </w:rPr>
        <w:t>kg/667m²/次</w:t>
      </w:r>
      <w:r>
        <w:rPr>
          <w:rFonts w:hint="eastAsia" w:hAnsi="宋体"/>
          <w:lang w:eastAsia="zh-CN"/>
        </w:rPr>
        <w:t>、腐植酸原液</w:t>
      </w:r>
      <w:r>
        <w:rPr>
          <w:rFonts w:hint="eastAsia" w:hAnsi="宋体"/>
        </w:rPr>
        <w:t>2kg/667²/次，连续施肥7次，以提高座果率，促进果实膨大和种籽发育。肥料使用应符合</w:t>
      </w:r>
      <w:r>
        <w:rPr>
          <w:rFonts w:hint="eastAsia" w:hAnsi="宋体"/>
          <w:color w:val="000000"/>
        </w:rPr>
        <w:t>NY/T 496准则</w:t>
      </w:r>
      <w:r>
        <w:rPr>
          <w:rFonts w:hint="eastAsia" w:hAnsi="宋体"/>
        </w:rPr>
        <w:t>。</w:t>
      </w:r>
    </w:p>
    <w:p>
      <w:pPr>
        <w:pStyle w:val="104"/>
        <w:numPr>
          <w:ilvl w:val="1"/>
          <w:numId w:val="0"/>
        </w:numPr>
        <w:spacing w:before="312" w:after="312"/>
        <w:ind w:leftChars="0"/>
        <w:rPr>
          <w:rFonts w:hint="eastAsia" w:hAnsi="Times New Roman" w:cs="Times New Roman"/>
          <w:lang w:val="en-US" w:eastAsia="zh-CN"/>
        </w:rPr>
      </w:pPr>
      <w:r>
        <w:rPr>
          <w:rFonts w:hint="eastAsia" w:hAnsi="Times New Roman" w:cs="Times New Roman"/>
          <w:lang w:val="en-US" w:eastAsia="zh-CN"/>
        </w:rPr>
        <w:t>11  病虫害防治</w:t>
      </w:r>
    </w:p>
    <w:p>
      <w:pPr>
        <w:pStyle w:val="105"/>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11.1  农业防治</w:t>
      </w:r>
    </w:p>
    <w:p>
      <w:pPr>
        <w:pStyle w:val="56"/>
        <w:spacing w:line="400" w:lineRule="exact"/>
        <w:ind w:firstLine="0" w:firstLineChars="0"/>
        <w:rPr>
          <w:rFonts w:hAnsi="宋体"/>
        </w:rPr>
      </w:pPr>
      <w:r>
        <w:rPr>
          <w:rFonts w:hint="eastAsia" w:hAnsi="宋体"/>
        </w:rPr>
        <w:t xml:space="preserve">    合理轮作倒茬，避免与葫芦科作物连作；选用抗（耐）病的优良籽用西葫芦品种；加强田间管理，合理施肥、灌水，提高植株</w:t>
      </w:r>
      <w:r>
        <w:rPr>
          <w:rFonts w:hint="eastAsia" w:hAnsi="宋体"/>
          <w:lang w:eastAsia="zh-CN"/>
        </w:rPr>
        <w:t>抗病性</w:t>
      </w:r>
      <w:r>
        <w:rPr>
          <w:rFonts w:hint="eastAsia" w:hAnsi="宋体"/>
        </w:rPr>
        <w:t>；及时清理田间及四周的杂草，防止蚜虫、蓟马等介质传播病毒病。</w:t>
      </w:r>
    </w:p>
    <w:p>
      <w:pPr>
        <w:pStyle w:val="105"/>
        <w:numPr>
          <w:ilvl w:val="2"/>
          <w:numId w:val="0"/>
        </w:numPr>
        <w:spacing w:before="156" w:after="156"/>
        <w:ind w:leftChars="0"/>
        <w:rPr>
          <w:rFonts w:hint="eastAsia" w:hAnsi="Times New Roman" w:cs="Times New Roman"/>
          <w:lang w:val="en-US" w:eastAsia="zh-CN"/>
        </w:rPr>
      </w:pPr>
      <w:r>
        <w:rPr>
          <w:rFonts w:hint="eastAsia" w:hAnsi="Times New Roman" w:cs="Times New Roman"/>
          <w:lang w:val="en-US" w:eastAsia="zh-CN"/>
        </w:rPr>
        <w:t>11.2  物理防治</w:t>
      </w:r>
    </w:p>
    <w:p>
      <w:pPr>
        <w:pStyle w:val="56"/>
        <w:spacing w:line="400" w:lineRule="exact"/>
        <w:ind w:firstLine="420" w:firstLineChars="0"/>
        <w:rPr>
          <w:rFonts w:hAnsi="宋体"/>
        </w:rPr>
      </w:pPr>
      <w:r>
        <w:rPr>
          <w:rFonts w:hint="eastAsia" w:hAnsi="宋体"/>
        </w:rPr>
        <w:t>利用害虫对光谱的趋避性进行防治，采用安装黑光灯、悬挂黄板等诱措施进行防治。</w:t>
      </w:r>
    </w:p>
    <w:p>
      <w:pPr>
        <w:pStyle w:val="65"/>
        <w:numPr>
          <w:ilvl w:val="3"/>
          <w:numId w:val="0"/>
        </w:numPr>
        <w:spacing w:before="156" w:after="156"/>
        <w:ind w:leftChars="0"/>
      </w:pPr>
      <w:r>
        <w:rPr>
          <w:rFonts w:hint="eastAsia"/>
          <w:lang w:val="en-US" w:eastAsia="zh-CN"/>
        </w:rPr>
        <w:t xml:space="preserve">11.3  </w:t>
      </w:r>
      <w:r>
        <w:rPr>
          <w:rFonts w:hint="eastAsia"/>
        </w:rPr>
        <w:t>生物防治</w:t>
      </w:r>
    </w:p>
    <w:p>
      <w:pPr>
        <w:pStyle w:val="56"/>
        <w:spacing w:line="400" w:lineRule="exact"/>
        <w:ind w:firstLine="0" w:firstLineChars="0"/>
        <w:rPr>
          <w:rFonts w:hAnsi="宋体"/>
        </w:rPr>
      </w:pPr>
      <w:r>
        <w:rPr>
          <w:rFonts w:hint="eastAsia" w:hAnsi="宋体"/>
        </w:rPr>
        <w:t xml:space="preserve">    利用天敌防治南瓜害虫为害，如释放七星瓢虫防治蚜虫，防治措施按照NY/T2062.4的规定进行防治；释放捕食螨、赤眼蜂等防治蓟马，应符合GB/T23629的规定。防治措施应符合GB/T23416.3的规定。</w:t>
      </w:r>
    </w:p>
    <w:p>
      <w:pPr>
        <w:pStyle w:val="65"/>
        <w:numPr>
          <w:ilvl w:val="3"/>
          <w:numId w:val="0"/>
        </w:numPr>
        <w:spacing w:before="156" w:after="156"/>
        <w:ind w:leftChars="0"/>
      </w:pPr>
      <w:r>
        <w:rPr>
          <w:rFonts w:hint="eastAsia"/>
          <w:lang w:val="en-US" w:eastAsia="zh-CN"/>
        </w:rPr>
        <w:t xml:space="preserve">11.4  </w:t>
      </w:r>
      <w:r>
        <w:rPr>
          <w:rFonts w:hint="eastAsia"/>
        </w:rPr>
        <w:t>药剂防治</w:t>
      </w:r>
    </w:p>
    <w:p>
      <w:pPr>
        <w:pStyle w:val="56"/>
        <w:spacing w:line="400" w:lineRule="exact"/>
        <w:ind w:firstLine="420"/>
        <w:rPr>
          <w:rFonts w:hAnsi="宋体"/>
        </w:rPr>
      </w:pPr>
      <w:r>
        <w:rPr>
          <w:rFonts w:hint="eastAsia" w:hAnsi="宋体"/>
        </w:rPr>
        <w:t>科学合理用药，选择高效低毒农药，严格按照说明书施用。前期应避免喷施广谱性杀虫剂，以保护天敌种群数量。使用农药防治应符合GB/T 8321（所有部分）的规定。</w:t>
      </w:r>
    </w:p>
    <w:p>
      <w:pPr>
        <w:pStyle w:val="104"/>
        <w:numPr>
          <w:ilvl w:val="1"/>
          <w:numId w:val="0"/>
        </w:numPr>
        <w:spacing w:before="312" w:after="312"/>
        <w:ind w:leftChars="0"/>
      </w:pPr>
      <w:r>
        <w:rPr>
          <w:rFonts w:hint="eastAsia"/>
          <w:lang w:val="en-US" w:eastAsia="zh-CN"/>
        </w:rPr>
        <w:t xml:space="preserve">12  </w:t>
      </w:r>
      <w:r>
        <w:rPr>
          <w:rFonts w:hint="eastAsia"/>
        </w:rPr>
        <w:t>采收</w:t>
      </w:r>
    </w:p>
    <w:p>
      <w:pPr>
        <w:pStyle w:val="56"/>
        <w:spacing w:line="400" w:lineRule="exact"/>
        <w:ind w:firstLine="420"/>
        <w:rPr>
          <w:rFonts w:hAnsi="宋体"/>
        </w:rPr>
      </w:pPr>
      <w:r>
        <w:rPr>
          <w:rFonts w:hint="eastAsia" w:hAnsi="宋体"/>
        </w:rPr>
        <w:t>合理选择采收时间。籽用西葫芦以收获种籽为主，需要在瓜果实充分老熟后采摘，即瓜表面出现一层白蜡状物质并有许多微小瘤状突起，果柄纵裂，且近无绿色时采收。为增加产量，一般需要后熟，即采收后在原地放置7d～10d，采用人工或打瓜机械破瓜取籽。</w:t>
      </w:r>
    </w:p>
    <w:p>
      <w:pPr>
        <w:pStyle w:val="104"/>
        <w:numPr>
          <w:ilvl w:val="1"/>
          <w:numId w:val="0"/>
        </w:numPr>
        <w:spacing w:before="312" w:after="312"/>
        <w:ind w:leftChars="0"/>
        <w:rPr>
          <w:rFonts w:hint="eastAsia" w:hAnsi="Times New Roman" w:cs="Times New Roman"/>
          <w:lang w:val="en-US" w:eastAsia="zh-CN"/>
        </w:rPr>
      </w:pPr>
      <w:r>
        <w:rPr>
          <w:rFonts w:hint="eastAsia" w:hAnsi="Times New Roman" w:cs="Times New Roman"/>
          <w:lang w:val="en-US" w:eastAsia="zh-CN"/>
        </w:rPr>
        <w:t>13  地膜与滴灌软管回收处理</w:t>
      </w:r>
    </w:p>
    <w:p>
      <w:pPr>
        <w:pStyle w:val="56"/>
        <w:spacing w:line="400" w:lineRule="exact"/>
        <w:ind w:firstLine="420"/>
        <w:rPr>
          <w:rFonts w:hAnsi="宋体"/>
        </w:rPr>
      </w:pPr>
      <w:r>
        <w:rPr>
          <w:rFonts w:hint="eastAsia" w:hAnsi="宋体"/>
        </w:rPr>
        <w:t>利用地膜回收机械或人工回收地膜和滴灌软管，集中整理后送回加工厂进行再加工利用。</w:t>
      </w:r>
    </w:p>
    <w:p>
      <w:r>
        <w:t xml:space="preserve"> </w:t>
      </w:r>
      <w:bookmarkEnd w:id="22"/>
    </w:p>
    <w:sectPr>
      <w:pgSz w:w="11906" w:h="16838"/>
      <w:pgMar w:top="1928"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85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2uRUMkSnYkKPKv+tgh//wWxj996QHg4xZj/9Jwx1SPwVkUmBudaIEa4Ux6c4kAjCF7N937dpVXbBaIZ/ZjTrAQ==" w:salt="HlRp9m3wEQuqCy+j8nJKt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g5ZjI1MzdiZTFiNDY4MDRjZDA4MTVhMzk4NDY1YzcifQ=="/>
  </w:docVars>
  <w:rsids>
    <w:rsidRoot w:val="0040400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976"/>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006"/>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0752"/>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AD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574"/>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0A1A"/>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2503935"/>
    <w:rsid w:val="1DA04C43"/>
    <w:rsid w:val="3AD3607C"/>
    <w:rsid w:val="4B5E4932"/>
    <w:rsid w:val="4F1841E2"/>
    <w:rsid w:val="5288688A"/>
    <w:rsid w:val="648B547D"/>
    <w:rsid w:val="707436AE"/>
    <w:rsid w:val="72172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31">
    <w:name w:val="正文首行缩进1"/>
    <w:basedOn w:val="13"/>
    <w:semiHidden/>
    <w:qFormat/>
    <w:uiPriority w:val="0"/>
    <w:pPr>
      <w:adjustRightInd/>
      <w:spacing w:before="100" w:beforeAutospacing="1" w:after="0" w:line="240" w:lineRule="auto"/>
      <w:ind w:firstLine="420" w:firstLineChars="100"/>
    </w:pPr>
    <w:rPr>
      <w:sz w:val="24"/>
      <w:szCs w:val="24"/>
    </w:rPr>
  </w:style>
  <w:style w:type="paragraph" w:customStyle="1" w:styleId="232">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9BD38DFD4CF420CADD25C8993FFD039"/>
        <w:style w:val=""/>
        <w:category>
          <w:name w:val="常规"/>
          <w:gallery w:val="placeholder"/>
        </w:category>
        <w:types>
          <w:type w:val="bbPlcHdr"/>
        </w:types>
        <w:behaviors>
          <w:behavior w:val="content"/>
        </w:behaviors>
        <w:description w:val=""/>
        <w:guid w:val="{31815741-E87B-43EB-80DD-85C3052D80ED}"/>
      </w:docPartPr>
      <w:docPartBody>
        <w:p>
          <w:pPr>
            <w:pStyle w:val="5"/>
          </w:pPr>
          <w:r>
            <w:rPr>
              <w:rStyle w:val="4"/>
              <w:rFonts w:hint="eastAsia"/>
            </w:rPr>
            <w:t>单击或点击此处输入文字。</w:t>
          </w:r>
        </w:p>
      </w:docPartBody>
    </w:docPart>
    <w:docPart>
      <w:docPartPr>
        <w:name w:val="2223AD8FB84E4DCAB8B24CAE5CDF921D"/>
        <w:style w:val=""/>
        <w:category>
          <w:name w:val="常规"/>
          <w:gallery w:val="placeholder"/>
        </w:category>
        <w:types>
          <w:type w:val="bbPlcHdr"/>
        </w:types>
        <w:behaviors>
          <w:behavior w:val="content"/>
        </w:behaviors>
        <w:description w:val=""/>
        <w:guid w:val="{D156525A-81C4-4243-9677-4A1A9D55C8EC}"/>
      </w:docPartPr>
      <w:docPartBody>
        <w:p>
          <w:pPr>
            <w:pStyle w:val="6"/>
          </w:pPr>
          <w:r>
            <w:rPr>
              <w:rStyle w:val="4"/>
              <w:rFonts w:hint="eastAsia"/>
            </w:rPr>
            <w:t>选择一项。</w:t>
          </w:r>
        </w:p>
      </w:docPartBody>
    </w:docPart>
    <w:docPart>
      <w:docPartPr>
        <w:name w:val="D3798A1DCC7D4D94B5C09D2401003E02"/>
        <w:style w:val=""/>
        <w:category>
          <w:name w:val="常规"/>
          <w:gallery w:val="placeholder"/>
        </w:category>
        <w:types>
          <w:type w:val="bbPlcHdr"/>
        </w:types>
        <w:behaviors>
          <w:behavior w:val="content"/>
        </w:behaviors>
        <w:description w:val=""/>
        <w:guid w:val="{6F51CA9A-2BFA-4690-9F09-0AA3E0CC207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555"/>
    <w:rsid w:val="00426D4D"/>
    <w:rsid w:val="00BC2555"/>
    <w:rsid w:val="00E00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9BD38DFD4CF420CADD25C8993FFD0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223AD8FB84E4DCAB8B24CAE5CDF92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3798A1DCC7D4D94B5C09D2401003E0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BA60EF-2A4A-468D-834C-91153552860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2630</Words>
  <Characters>3187</Characters>
  <Lines>26</Lines>
  <Paragraphs>7</Paragraphs>
  <TotalTime>7</TotalTime>
  <ScaleCrop>false</ScaleCrop>
  <LinksUpToDate>false</LinksUpToDate>
  <CharactersWithSpaces>3360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2024-05-28T01:20:00Z</dcterms:created>
  <dc:creator>Administrator</dc:creator>
  <dc:description>&lt;config cover="true" show_menu="true" version="1.0.0" doctype="SDKXY"&gt;_x000d_
&lt;/config&gt;</dc:description>
  <cp:lastModifiedBy>Administrator</cp:lastModifiedBy>
  <cp:lastPrinted>2024-08-01T07:01:00Z</cp:lastPrinted>
  <dcterms:modified xsi:type="dcterms:W3CDTF">2024-10-30T09:12:29Z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2052-11.8.2.8361</vt:lpwstr>
  </property>
  <property fmtid="{D5CDD505-2E9C-101B-9397-08002B2CF9AE}" pid="15" name="ICV">
    <vt:lpwstr>7B372D9FD35344858022F5FA0F5F2DA3_13</vt:lpwstr>
  </property>
</Properties>
</file>