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b/>
          <w:sz w:val="36"/>
          <w:szCs w:val="36"/>
        </w:rPr>
      </w:pPr>
    </w:p>
    <w:p>
      <w:pPr>
        <w:spacing w:line="560" w:lineRule="exact"/>
        <w:jc w:val="center"/>
        <w:rPr>
          <w:rFonts w:ascii="方正小标宋简体" w:hAnsi="宋体" w:eastAsia="方正小标宋简体" w:cs="Tahoma"/>
          <w:sz w:val="36"/>
          <w:szCs w:val="36"/>
        </w:rPr>
      </w:pPr>
    </w:p>
    <w:p>
      <w:pPr>
        <w:spacing w:line="560" w:lineRule="exact"/>
        <w:jc w:val="both"/>
        <w:rPr>
          <w:rFonts w:ascii="方正小标宋简体" w:hAnsi="宋体" w:eastAsia="方正小标宋简体" w:cs="Tahoma"/>
          <w:sz w:val="36"/>
          <w:szCs w:val="36"/>
        </w:rPr>
      </w:pPr>
    </w:p>
    <w:p>
      <w:pPr>
        <w:pStyle w:val="3"/>
        <w:spacing w:line="360" w:lineRule="auto"/>
        <w:jc w:val="center"/>
        <w:rPr>
          <w:rFonts w:ascii="方正小标宋简体" w:hAnsi="宋体" w:eastAsia="方正小标宋简体" w:cs="Tahoma"/>
          <w:sz w:val="96"/>
          <w:szCs w:val="96"/>
        </w:rPr>
      </w:pPr>
      <w:r>
        <w:rPr>
          <w:rFonts w:hint="eastAsia" w:ascii="方正小标宋简体" w:hAnsi="宋体" w:eastAsia="方正小标宋简体" w:cs="Tahoma"/>
          <w:sz w:val="56"/>
          <w:szCs w:val="56"/>
        </w:rPr>
        <w:t>明渠超声波测流工程技术规范</w:t>
      </w:r>
    </w:p>
    <w:p>
      <w:pPr>
        <w:pStyle w:val="3"/>
        <w:spacing w:line="360" w:lineRule="auto"/>
        <w:jc w:val="center"/>
        <w:rPr>
          <w:sz w:val="96"/>
          <w:szCs w:val="96"/>
        </w:rPr>
      </w:pPr>
      <w:r>
        <w:rPr>
          <w:rFonts w:hint="eastAsia" w:ascii="方正小标宋简体" w:hAnsi="宋体" w:eastAsia="方正小标宋简体" w:cs="Tahoma"/>
          <w:sz w:val="96"/>
          <w:szCs w:val="96"/>
        </w:rPr>
        <w:t>编制说明</w:t>
      </w:r>
    </w:p>
    <w:p>
      <w:pPr>
        <w:spacing w:line="360" w:lineRule="auto"/>
        <w:jc w:val="center"/>
        <w:rPr>
          <w:rFonts w:ascii="方正小标宋简体" w:hAnsi="宋体" w:eastAsia="方正小标宋简体" w:cs="Tahoma"/>
          <w:sz w:val="36"/>
          <w:szCs w:val="36"/>
        </w:rPr>
      </w:pPr>
    </w:p>
    <w:p>
      <w:pPr>
        <w:spacing w:line="360" w:lineRule="auto"/>
        <w:jc w:val="center"/>
        <w:rPr>
          <w:rFonts w:ascii="方正小标宋简体" w:hAnsi="宋体" w:eastAsia="方正小标宋简体" w:cs="Tahoma"/>
          <w:sz w:val="36"/>
          <w:szCs w:val="36"/>
        </w:rPr>
      </w:pPr>
    </w:p>
    <w:p>
      <w:pPr>
        <w:spacing w:line="360" w:lineRule="auto"/>
        <w:jc w:val="center"/>
        <w:rPr>
          <w:rFonts w:ascii="方正小标宋简体" w:hAnsi="宋体" w:eastAsia="方正小标宋简体" w:cs="Tahoma"/>
          <w:sz w:val="36"/>
          <w:szCs w:val="36"/>
        </w:rPr>
      </w:pPr>
    </w:p>
    <w:p>
      <w:pPr>
        <w:spacing w:line="360" w:lineRule="auto"/>
        <w:rPr>
          <w:rFonts w:ascii="方正小标宋简体" w:hAnsi="宋体" w:eastAsia="方正小标宋简体" w:cs="Tahoma"/>
          <w:sz w:val="36"/>
          <w:szCs w:val="36"/>
        </w:rPr>
      </w:pPr>
    </w:p>
    <w:p>
      <w:pPr>
        <w:pStyle w:val="2"/>
        <w:rPr>
          <w:rFonts w:ascii="方正小标宋简体" w:hAnsi="宋体" w:eastAsia="方正小标宋简体" w:cs="Tahoma"/>
          <w:sz w:val="36"/>
          <w:szCs w:val="36"/>
        </w:rPr>
      </w:pPr>
    </w:p>
    <w:p>
      <w:pPr>
        <w:spacing w:line="360" w:lineRule="auto"/>
        <w:jc w:val="both"/>
        <w:rPr>
          <w:rFonts w:hint="eastAsia" w:ascii="方正小标宋简体" w:hAnsi="宋体" w:eastAsia="方正小标宋简体" w:cs="Tahoma"/>
          <w:b/>
          <w:bCs/>
          <w:sz w:val="44"/>
          <w:szCs w:val="44"/>
        </w:rPr>
      </w:pPr>
    </w:p>
    <w:p>
      <w:pPr>
        <w:pStyle w:val="2"/>
        <w:rPr>
          <w:rFonts w:hint="eastAsia" w:ascii="方正小标宋简体" w:hAnsi="宋体" w:eastAsia="方正小标宋简体" w:cs="Tahoma"/>
          <w:b/>
          <w:bCs/>
          <w:sz w:val="44"/>
          <w:szCs w:val="44"/>
        </w:rPr>
      </w:pPr>
    </w:p>
    <w:p>
      <w:pPr>
        <w:pStyle w:val="2"/>
        <w:rPr>
          <w:rFonts w:hint="eastAsia" w:ascii="方正小标宋简体" w:hAnsi="宋体" w:eastAsia="方正小标宋简体" w:cs="Tahoma"/>
          <w:b/>
          <w:bCs/>
          <w:sz w:val="44"/>
          <w:szCs w:val="44"/>
        </w:rPr>
      </w:pPr>
      <w:bookmarkStart w:id="0" w:name="_GoBack"/>
      <w:bookmarkEnd w:id="0"/>
    </w:p>
    <w:p>
      <w:pPr>
        <w:spacing w:line="360" w:lineRule="auto"/>
        <w:jc w:val="center"/>
        <w:rPr>
          <w:rFonts w:hint="default" w:ascii="方正小标宋简体" w:hAnsi="宋体" w:eastAsia="方正小标宋简体" w:cs="Tahoma"/>
          <w:b/>
          <w:bCs/>
          <w:sz w:val="44"/>
          <w:szCs w:val="44"/>
          <w:lang w:val="en-US" w:eastAsia="zh-CN"/>
        </w:rPr>
      </w:pPr>
      <w:r>
        <w:rPr>
          <w:rFonts w:hint="eastAsia" w:ascii="方正小标宋简体" w:hAnsi="宋体" w:eastAsia="方正小标宋简体" w:cs="Tahoma"/>
          <w:b/>
          <w:bCs/>
          <w:sz w:val="44"/>
          <w:szCs w:val="44"/>
          <w:lang w:val="en-US" w:eastAsia="zh-CN"/>
        </w:rPr>
        <w:t>内蒙古河套灌区水利发展中心</w:t>
      </w:r>
    </w:p>
    <w:p>
      <w:pPr>
        <w:spacing w:line="360" w:lineRule="auto"/>
        <w:jc w:val="center"/>
        <w:rPr>
          <w:rFonts w:ascii="方正小标宋简体" w:hAnsi="宋体" w:eastAsia="方正小标宋简体" w:cs="Tahoma"/>
          <w:b/>
          <w:bCs/>
          <w:sz w:val="44"/>
          <w:szCs w:val="44"/>
        </w:rPr>
      </w:pPr>
      <w:r>
        <w:rPr>
          <w:rFonts w:hint="eastAsia" w:ascii="方正小标宋简体" w:hAnsi="宋体" w:eastAsia="方正小标宋简体" w:cs="Tahoma"/>
          <w:b/>
          <w:bCs/>
          <w:sz w:val="44"/>
          <w:szCs w:val="44"/>
        </w:rPr>
        <w:t>二〇二四年六月</w:t>
      </w:r>
    </w:p>
    <w:p>
      <w:pPr>
        <w:spacing w:line="560" w:lineRule="exact"/>
        <w:jc w:val="center"/>
        <w:rPr>
          <w:rFonts w:ascii="方正小标宋简体" w:hAnsi="宋体" w:eastAsia="方正小标宋简体" w:cs="Tahoma"/>
          <w:sz w:val="36"/>
          <w:szCs w:val="36"/>
        </w:rPr>
      </w:pPr>
    </w:p>
    <w:p>
      <w:pPr>
        <w:spacing w:line="560" w:lineRule="exact"/>
        <w:rPr>
          <w:rFonts w:ascii="方正小标宋简体" w:hAnsi="宋体" w:eastAsia="方正小标宋简体" w:cs="Tahoma"/>
          <w:sz w:val="36"/>
          <w:szCs w:val="36"/>
        </w:rPr>
      </w:pPr>
    </w:p>
    <w:p>
      <w:pPr>
        <w:spacing w:line="560" w:lineRule="exact"/>
        <w:jc w:val="center"/>
        <w:rPr>
          <w:rFonts w:ascii="方正小标宋简体" w:hAnsi="宋体" w:eastAsia="方正小标宋简体" w:cs="Tahoma"/>
          <w:sz w:val="36"/>
          <w:szCs w:val="36"/>
        </w:rPr>
      </w:pPr>
    </w:p>
    <w:p>
      <w:pPr>
        <w:spacing w:line="560" w:lineRule="exact"/>
        <w:jc w:val="center"/>
        <w:rPr>
          <w:rFonts w:ascii="方正小标宋简体" w:hAnsi="宋体" w:eastAsia="方正小标宋简体" w:cs="Tahoma"/>
          <w:sz w:val="36"/>
          <w:szCs w:val="36"/>
        </w:rPr>
        <w:sectPr>
          <w:footerReference r:id="rId3" w:type="default"/>
          <w:footerReference r:id="rId4" w:type="even"/>
          <w:pgSz w:w="11906" w:h="16838"/>
          <w:pgMar w:top="1440" w:right="1466" w:bottom="1440" w:left="1440" w:header="851" w:footer="992" w:gutter="0"/>
          <w:pgNumType w:start="1"/>
          <w:cols w:space="720" w:num="1"/>
          <w:docGrid w:type="lines" w:linePitch="312" w:charSpace="0"/>
        </w:sectPr>
      </w:pPr>
    </w:p>
    <w:p>
      <w:pPr>
        <w:spacing w:line="560" w:lineRule="exact"/>
        <w:jc w:val="center"/>
        <w:rPr>
          <w:rFonts w:ascii="方正小标宋简体" w:hAnsi="宋体" w:eastAsia="方正小标宋简体"/>
          <w:sz w:val="36"/>
          <w:szCs w:val="36"/>
        </w:rPr>
      </w:pPr>
      <w:r>
        <w:rPr>
          <w:rFonts w:hint="eastAsia" w:ascii="方正小标宋简体" w:hAnsi="宋体" w:eastAsia="方正小标宋简体" w:cs="Tahoma"/>
          <w:sz w:val="36"/>
          <w:szCs w:val="36"/>
        </w:rPr>
        <w:t>《明渠超声波测流工程技术规范》巴彦淖尔市</w:t>
      </w:r>
      <w:r>
        <w:rPr>
          <w:rFonts w:hint="eastAsia" w:ascii="方正小标宋简体" w:hAnsi="宋体" w:eastAsia="方正小标宋简体"/>
          <w:sz w:val="36"/>
          <w:szCs w:val="36"/>
        </w:rPr>
        <w:t>地方标准</w:t>
      </w:r>
    </w:p>
    <w:p>
      <w:pPr>
        <w:spacing w:line="560" w:lineRule="exact"/>
        <w:jc w:val="center"/>
        <w:rPr>
          <w:b/>
          <w:sz w:val="36"/>
          <w:szCs w:val="36"/>
        </w:rPr>
      </w:pPr>
      <w:r>
        <w:rPr>
          <w:rFonts w:hint="eastAsia"/>
          <w:b/>
          <w:sz w:val="36"/>
          <w:szCs w:val="36"/>
        </w:rPr>
        <w:t>编制说明</w:t>
      </w:r>
    </w:p>
    <w:p>
      <w:pPr>
        <w:spacing w:line="560" w:lineRule="exact"/>
        <w:jc w:val="left"/>
        <w:outlineLvl w:val="0"/>
        <w:rPr>
          <w:rFonts w:ascii="黑体" w:hAnsi="黑体" w:eastAsia="黑体" w:cs="黑体"/>
          <w:bCs/>
          <w:szCs w:val="32"/>
        </w:rPr>
      </w:pPr>
    </w:p>
    <w:p>
      <w:pPr>
        <w:spacing w:line="560" w:lineRule="exact"/>
        <w:ind w:firstLine="640" w:firstLineChars="200"/>
        <w:jc w:val="left"/>
        <w:outlineLvl w:val="0"/>
        <w:rPr>
          <w:rFonts w:ascii="黑体" w:hAnsi="黑体" w:eastAsia="黑体" w:cs="黑体"/>
          <w:bCs/>
          <w:szCs w:val="32"/>
        </w:rPr>
      </w:pPr>
      <w:r>
        <w:rPr>
          <w:rFonts w:hint="eastAsia" w:ascii="黑体" w:hAnsi="黑体" w:eastAsia="黑体" w:cs="黑体"/>
          <w:bCs/>
          <w:szCs w:val="32"/>
        </w:rPr>
        <w:t>一、工作简况</w:t>
      </w:r>
    </w:p>
    <w:p>
      <w:pPr>
        <w:spacing w:line="560" w:lineRule="exact"/>
        <w:ind w:firstLine="640" w:firstLineChars="200"/>
        <w:jc w:val="left"/>
        <w:outlineLvl w:val="0"/>
      </w:pPr>
      <w:r>
        <w:t>近年来，随着水资源管理和高效灌溉技术的不断发展，准确测量灌溉用水量已成为水资源管理的重要内容。明渠超声波测流技术作为一种先进的流量测量方法，在河套灌区得到了广泛应用。为规范和指导明渠超声波测流工程的设计、施工及运行管理，内蒙古河套灌区水利发展中心根据国家和行业相关标准及实际工程经验，编制了《明渠超声波测流工程技术规范》。</w:t>
      </w:r>
    </w:p>
    <w:p>
      <w:pPr>
        <w:spacing w:line="560" w:lineRule="exact"/>
        <w:ind w:firstLine="640" w:firstLineChars="200"/>
        <w:jc w:val="left"/>
        <w:outlineLvl w:val="0"/>
        <w:rPr>
          <w:rFonts w:ascii="黑体" w:hAnsi="黑体" w:eastAsia="黑体" w:cs="黑体"/>
          <w:bCs/>
          <w:szCs w:val="32"/>
        </w:rPr>
      </w:pPr>
      <w:r>
        <w:rPr>
          <w:rFonts w:hint="eastAsia" w:ascii="黑体" w:hAnsi="黑体" w:eastAsia="黑体" w:cs="黑体"/>
          <w:bCs/>
          <w:szCs w:val="32"/>
        </w:rPr>
        <w:t>二、制定标准的必要性和意义</w:t>
      </w:r>
    </w:p>
    <w:p>
      <w:pPr>
        <w:ind w:firstLine="640" w:firstLineChars="200"/>
      </w:pPr>
      <w:r>
        <w:rPr>
          <w:rFonts w:hint="eastAsia"/>
        </w:rPr>
        <w:t>近年来，随着经济社会的快速发展，各行业对水资源的需求不断增加，水资源短缺问题日益突出，制约了经济社会的可持续发展。为解决灌区水资源供求矛盾，提升水资源管理水平，制定《明渠超声波测流工程技术规范》显得尤为重要。该规范的制定，不仅是优化灌区引黄水资源配置体系的重要举措，更是落实最严格水资源管理制度的关键环节，对于提高水资源利用效率和效益、促进灌区水利改革具有重要意义。</w:t>
      </w:r>
    </w:p>
    <w:p>
      <w:pPr>
        <w:ind w:firstLine="640" w:firstLineChars="200"/>
      </w:pPr>
      <w:r>
        <w:rPr>
          <w:rFonts w:hint="eastAsia"/>
        </w:rPr>
        <w:t>为深入贯彻习近平总书记提出的“节水优先、空间均衡、系统治理、两手发力”的治水思路和相关重要讲话精神，落实水利部《关于深化水利改革的指导意见》，内蒙古河套灌区水利发展中心结合本地实际情况，积极推进明渠超声波测流技术的应用。通过制定和实施这一技术规范，进一步规范明渠超声波测流工程的设计、施工及运行管理，有助于科学规划和高效管理灌区水资源，实现水资源的精准计量和合理配置。</w:t>
      </w:r>
    </w:p>
    <w:p>
      <w:pPr>
        <w:ind w:firstLine="640" w:firstLineChars="200"/>
      </w:pPr>
      <w:r>
        <w:rPr>
          <w:rFonts w:hint="eastAsia"/>
        </w:rPr>
        <w:t>通过《明渠超声波测流工程技术规范》的制定和推广，将有效提升灌区水资源管理水平，促进水资源的合理开发和节约利用，改变传统水资源管理模式，提升管理理念和技术水平，推动灌区水利从传统向现代化转型。这不仅有助于保障经济社会的可持续发展，也为今后在更广泛的范围内推广先进测流技术提供了科学依据和技术支持。</w:t>
      </w:r>
    </w:p>
    <w:p>
      <w:pPr>
        <w:ind w:firstLine="640" w:firstLineChars="200"/>
      </w:pPr>
      <w:r>
        <w:rPr>
          <w:rFonts w:hint="eastAsia"/>
        </w:rPr>
        <w:t>此外，加快明渠超声波测流技术在灌区的应用，也是落实国家水资源管理政策、推进黄河流域生态保护和高质量发展战略的重要举措。为了扩大技术应用覆盖面，进一步提升河套灌区的节水管理水平，规划灌区水利的未来发展，制定这一地方标准显得尤为必要。通过标准的制定，为今后灌区水资源管理提供了数据参考和技术指引，推动灌区水利改革不断深化，实现水资源的高效利用和科学管理。</w:t>
      </w:r>
    </w:p>
    <w:p>
      <w:pPr>
        <w:ind w:firstLine="640" w:firstLineChars="200"/>
      </w:pPr>
      <w:r>
        <w:rPr>
          <w:rFonts w:hint="eastAsia"/>
        </w:rPr>
        <w:t>本文件的制定过程中，充分结合了河套灌区的实际情况和工程特点，依据相关项目的实施经验，研究制定了《明渠超声波测流工程技术规范》。该文件适用于内蒙古河套灌区引黄灌溉明渠超声波测流工程的规划、设计、施工及运行管理，规定了相关的术语和定义、技术要求、工程规划、工程设计、建设安装及运行管理等内容。通过该规范的实施，将为河套地区水资源管理和技术应用提供坚实的基础和科学的指导。</w:t>
      </w:r>
    </w:p>
    <w:p>
      <w:pPr>
        <w:spacing w:line="560" w:lineRule="exact"/>
        <w:ind w:firstLine="640" w:firstLineChars="200"/>
        <w:jc w:val="left"/>
        <w:outlineLvl w:val="0"/>
        <w:rPr>
          <w:rFonts w:ascii="黑体" w:hAnsi="黑体" w:eastAsia="黑体" w:cs="黑体"/>
          <w:bCs/>
          <w:szCs w:val="32"/>
        </w:rPr>
      </w:pPr>
      <w:r>
        <w:rPr>
          <w:rFonts w:hint="eastAsia" w:ascii="黑体" w:hAnsi="黑体" w:eastAsia="黑体" w:cs="黑体"/>
          <w:bCs/>
          <w:szCs w:val="32"/>
        </w:rPr>
        <w:t>三、主要工作过程</w:t>
      </w:r>
    </w:p>
    <w:p>
      <w:pPr>
        <w:spacing w:line="560" w:lineRule="exact"/>
        <w:ind w:firstLine="643" w:firstLineChars="200"/>
        <w:rPr>
          <w:rFonts w:ascii="楷体" w:hAnsi="楷体" w:eastAsia="楷体" w:cs="楷体"/>
          <w:b/>
          <w:bCs/>
        </w:rPr>
      </w:pPr>
      <w:r>
        <w:rPr>
          <w:rFonts w:hint="eastAsia" w:ascii="楷体" w:hAnsi="楷体" w:eastAsia="楷体" w:cs="楷体"/>
          <w:b/>
          <w:bCs/>
        </w:rPr>
        <w:t>（一）前期研究，分析项目可行性</w:t>
      </w:r>
    </w:p>
    <w:p>
      <w:pPr>
        <w:ind w:firstLine="640" w:firstLineChars="200"/>
      </w:pPr>
      <w:r>
        <w:rPr>
          <w:rFonts w:hint="eastAsia"/>
        </w:rPr>
        <w:t>在巴彦淖尔市现有的灌区水资源管理工作基础上，特别是在河套灌区超声波测流技术应用和试点项目的实践中，根据国家《节水行动方案》和《水利信息化发展规划》及《巴彦淖尔市水资源管理指导意见（试行）》，我们与相关涉水单位共同进行了深入的分析和论证。通过对现有项目成果的分析，认为有必要扩大现有标准的覆盖范围，进一步指导和规范巴彦淖尔市明渠超声波测流工程的技术要求，形成成体系的《明渠超声波测流工程技术规范》的地方标准。</w:t>
      </w:r>
    </w:p>
    <w:p>
      <w:pPr>
        <w:spacing w:line="560" w:lineRule="exact"/>
        <w:ind w:firstLine="643" w:firstLineChars="200"/>
        <w:rPr>
          <w:rFonts w:ascii="楷体" w:hAnsi="楷体" w:eastAsia="楷体" w:cs="楷体"/>
          <w:b/>
          <w:bCs/>
        </w:rPr>
      </w:pPr>
      <w:r>
        <w:rPr>
          <w:rFonts w:hint="eastAsia" w:ascii="楷体" w:hAnsi="楷体" w:eastAsia="楷体" w:cs="楷体"/>
          <w:b/>
          <w:bCs/>
        </w:rPr>
        <w:t>（二）标准立项，开展起草工作</w:t>
      </w:r>
    </w:p>
    <w:p>
      <w:pPr>
        <w:ind w:firstLine="640" w:firstLineChars="200"/>
      </w:pPr>
      <w:r>
        <w:rPr>
          <w:rFonts w:hint="eastAsia"/>
        </w:rPr>
        <w:t>为确保标准的实用性和科学性，内蒙古河套灌区水利发展中心确立了推进《明渠超声波测流工程技术规范》标准化起草的工作目标、重点任务和责任分工。我们组织了经验丰富的技术人员和专家成立标准起草组，依托国家和水利行业的相关政策和规划，结合河套灌区的实际情况和需求，开展了广泛深入的调研。通过听取相关涉水部门的工作建议和业务需求，起草组初步形成了《明渠超声波测流工程技术规范》的草稿。</w:t>
      </w:r>
    </w:p>
    <w:p>
      <w:pPr>
        <w:spacing w:line="560" w:lineRule="exact"/>
        <w:ind w:firstLine="643" w:firstLineChars="200"/>
        <w:rPr>
          <w:rFonts w:ascii="楷体" w:hAnsi="楷体" w:eastAsia="楷体" w:cs="楷体"/>
          <w:b/>
          <w:bCs/>
        </w:rPr>
      </w:pPr>
      <w:r>
        <w:rPr>
          <w:rFonts w:hint="eastAsia" w:ascii="楷体" w:hAnsi="楷体" w:eastAsia="楷体" w:cs="楷体"/>
          <w:b/>
          <w:bCs/>
        </w:rPr>
        <w:t>（三）召开标准研讨会，修改完善标准</w:t>
      </w:r>
    </w:p>
    <w:p>
      <w:pPr>
        <w:ind w:firstLine="640" w:firstLineChars="200"/>
      </w:pPr>
      <w:r>
        <w:rPr>
          <w:rFonts w:hint="eastAsia"/>
        </w:rPr>
        <w:t>在完成初稿的基础上，项目组召开了《明渠超声波测流工程技术规范》制定研讨会。与会专家对标准草稿进行了认真细致的讨论，提出了具体的修改意见和建议。会后，项目组根据这些反馈意见，反复论证和修改，最终形成了《明渠超声波测流工程技术规范》的地方标准初稿。</w:t>
      </w:r>
    </w:p>
    <w:p>
      <w:pPr>
        <w:spacing w:line="560" w:lineRule="exact"/>
        <w:ind w:firstLine="640" w:firstLineChars="200"/>
        <w:jc w:val="left"/>
        <w:outlineLvl w:val="0"/>
        <w:rPr>
          <w:rFonts w:ascii="黑体" w:hAnsi="黑体" w:eastAsia="黑体" w:cs="黑体"/>
          <w:bCs/>
          <w:szCs w:val="32"/>
        </w:rPr>
      </w:pPr>
      <w:r>
        <w:rPr>
          <w:rFonts w:hint="eastAsia" w:ascii="黑体" w:hAnsi="黑体" w:eastAsia="黑体" w:cs="黑体"/>
          <w:bCs/>
          <w:szCs w:val="32"/>
        </w:rPr>
        <w:t>四、与有关的现行法律、法规和强制性国家标准的关系</w:t>
      </w:r>
    </w:p>
    <w:p>
      <w:pPr>
        <w:spacing w:line="560" w:lineRule="exact"/>
        <w:ind w:firstLine="640" w:firstLineChars="200"/>
        <w:rPr>
          <w:rFonts w:ascii="仿宋" w:hAnsi="仿宋"/>
        </w:rPr>
      </w:pPr>
      <w:r>
        <w:rPr>
          <w:rFonts w:hint="eastAsia" w:ascii="仿宋" w:hAnsi="仿宋"/>
        </w:rPr>
        <w:t>本文件的制定以科学、实用和可操作性为基本原则，严格遵循国家有关法律法规、规章和强制性标准的规定。本文件按照GB/T1.1-2020《标准化工作导则 第一部分：标准化文件的结构和起草规则》以及《灌溉渠道系统量水规范》（GB/T 21303）、《取水计量技术导则》（GB/T 28714）、《行业用水定额》（DB15/T 385）、《中华人民共和国水法》(2016修订）等标准和法规进行编制，确保其科学性、权威性和可操作性。</w:t>
      </w:r>
    </w:p>
    <w:p>
      <w:pPr>
        <w:spacing w:line="560" w:lineRule="exact"/>
        <w:ind w:firstLine="640" w:firstLineChars="200"/>
        <w:rPr>
          <w:rFonts w:ascii="黑体" w:hAnsi="黑体" w:eastAsia="黑体" w:cs="黑体"/>
        </w:rPr>
      </w:pPr>
      <w:r>
        <w:rPr>
          <w:rFonts w:hint="eastAsia" w:ascii="黑体" w:hAnsi="黑体" w:eastAsia="黑体" w:cs="黑体"/>
        </w:rPr>
        <w:t>五、重大意见分歧的处理依据和结果</w:t>
      </w:r>
    </w:p>
    <w:p>
      <w:pPr>
        <w:spacing w:line="560" w:lineRule="exact"/>
        <w:ind w:firstLine="640" w:firstLineChars="200"/>
        <w:rPr>
          <w:rFonts w:ascii="仿宋" w:hAnsi="仿宋"/>
        </w:rPr>
      </w:pPr>
      <w:r>
        <w:rPr>
          <w:rFonts w:hint="eastAsia" w:ascii="仿宋" w:hAnsi="仿宋"/>
        </w:rPr>
        <w:t>本文件制定过程征求了相关专家们的意见和建议，无任何重大意见分歧。若审定过程中出现需要修订完善的部分，需由起草小组根据专家意见进行讨论和修改。</w:t>
      </w:r>
    </w:p>
    <w:p>
      <w:pPr>
        <w:spacing w:line="560" w:lineRule="exact"/>
        <w:ind w:firstLine="640" w:firstLineChars="200"/>
        <w:rPr>
          <w:rFonts w:ascii="黑体" w:hAnsi="黑体" w:eastAsia="黑体" w:cs="黑体"/>
        </w:rPr>
      </w:pPr>
      <w:r>
        <w:rPr>
          <w:rFonts w:hint="eastAsia" w:ascii="黑体" w:hAnsi="黑体" w:eastAsia="黑体" w:cs="黑体"/>
        </w:rPr>
        <w:t>六、其他应说明的事项</w:t>
      </w:r>
    </w:p>
    <w:p>
      <w:pPr>
        <w:spacing w:line="560" w:lineRule="exact"/>
        <w:ind w:firstLine="640" w:firstLineChars="200"/>
        <w:rPr>
          <w:rFonts w:ascii="黑体" w:hAnsi="黑体" w:eastAsia="黑体" w:cs="黑体"/>
          <w:bCs/>
          <w:szCs w:val="32"/>
        </w:rPr>
      </w:pPr>
      <w:r>
        <w:rPr>
          <w:rFonts w:hint="eastAsia" w:ascii="仿宋" w:hAnsi="仿宋"/>
        </w:rPr>
        <w:t>无。</w:t>
      </w:r>
    </w:p>
    <w:p>
      <w:pPr>
        <w:pStyle w:val="12"/>
        <w:numPr>
          <w:ilvl w:val="0"/>
          <w:numId w:val="1"/>
        </w:numPr>
        <w:spacing w:line="560" w:lineRule="exact"/>
        <w:ind w:firstLineChars="0"/>
        <w:jc w:val="left"/>
        <w:outlineLvl w:val="0"/>
        <w:rPr>
          <w:rFonts w:ascii="黑体" w:hAnsi="黑体" w:eastAsia="黑体" w:cs="黑体"/>
          <w:bCs/>
          <w:szCs w:val="32"/>
        </w:rPr>
      </w:pPr>
      <w:r>
        <w:rPr>
          <w:rFonts w:hint="eastAsia" w:ascii="黑体" w:hAnsi="黑体" w:eastAsia="黑体" w:cs="黑体"/>
          <w:bCs/>
          <w:szCs w:val="32"/>
        </w:rPr>
        <w:t>贯彻地方标准的要求和措施建议</w:t>
      </w:r>
    </w:p>
    <w:p>
      <w:pPr>
        <w:spacing w:line="560" w:lineRule="exact"/>
        <w:ind w:firstLine="640" w:firstLineChars="200"/>
        <w:rPr>
          <w:rFonts w:ascii="仿宋_GB2312" w:hAnsi="仿宋" w:eastAsia="仿宋_GB2312"/>
          <w:color w:val="000000"/>
          <w:szCs w:val="32"/>
        </w:rPr>
      </w:pPr>
      <w:r>
        <w:rPr>
          <w:rFonts w:hint="eastAsia" w:ascii="仿宋_GB2312" w:hAnsi="仿宋" w:eastAsia="仿宋_GB2312"/>
          <w:color w:val="000000"/>
          <w:szCs w:val="32"/>
        </w:rPr>
        <w:t>建议巴彦淖尔市水利局和内蒙古河套灌区水利发展中心以及各所属下级单位做好标准的宣传培训工作，通过举办培训班、技术交流会和现场演示等多种形式，确保相关人员熟悉和掌握《明渠超声波测流工程技术规范》的具体要求和操作方法。通过这些措施，提高相关技术人员和管理人员的专业水平，确保标准在实际工程中的有效实施。</w:t>
      </w:r>
    </w:p>
    <w:p>
      <w:pPr>
        <w:spacing w:line="560" w:lineRule="exact"/>
        <w:ind w:firstLine="640" w:firstLineChars="200"/>
        <w:rPr>
          <w:rFonts w:ascii="仿宋_GB2312" w:hAnsi="仿宋" w:eastAsia="仿宋_GB2312"/>
          <w:color w:val="000000"/>
          <w:szCs w:val="32"/>
        </w:rPr>
      </w:pPr>
      <w:r>
        <w:rPr>
          <w:rFonts w:hint="eastAsia" w:ascii="仿宋_GB2312" w:hAnsi="仿宋" w:eastAsia="仿宋_GB2312"/>
          <w:color w:val="000000"/>
          <w:szCs w:val="32"/>
        </w:rPr>
        <w:t>建议各级水利管理部门在实施过程中，积极推广和应用超声波测流技术，通过科学的管理和技术手段，进一步提高灌区水资源的综合利用效益和效率。充分发挥标准在优化水资源配置、减少用水浪费和提升测流精度方面的作用，促进灌区水资源的可持续利用。</w:t>
      </w:r>
    </w:p>
    <w:p>
      <w:pPr>
        <w:spacing w:line="560" w:lineRule="exact"/>
        <w:ind w:firstLine="640" w:firstLineChars="200"/>
        <w:rPr>
          <w:rFonts w:ascii="仿宋_GB2312" w:hAnsi="仿宋" w:eastAsia="仿宋_GB2312"/>
          <w:color w:val="000000"/>
          <w:szCs w:val="32"/>
        </w:rPr>
      </w:pPr>
      <w:r>
        <w:rPr>
          <w:rFonts w:hint="eastAsia" w:ascii="仿宋_GB2312" w:hAnsi="仿宋" w:eastAsia="仿宋_GB2312"/>
          <w:color w:val="000000"/>
          <w:szCs w:val="32"/>
        </w:rPr>
        <w:t>在实施过程中，应建立完善的反馈机制，对于在实际操作中遇到的问题和困难，各级单位应及时向标准制定机构反馈，以便进行进一步的研究和改进。同时，建议定期组织标准的评估和总结工作，及时修订和完善标准内容，确保其科学性、合理性和先进性。</w:t>
      </w:r>
    </w:p>
    <w:p>
      <w:pPr>
        <w:spacing w:line="560" w:lineRule="exact"/>
        <w:ind w:firstLine="640" w:firstLineChars="200"/>
        <w:rPr>
          <w:rFonts w:ascii="仿宋_GB2312" w:hAnsi="仿宋" w:eastAsia="仿宋_GB2312"/>
          <w:color w:val="000000"/>
          <w:szCs w:val="32"/>
        </w:rPr>
      </w:pPr>
      <w:r>
        <w:rPr>
          <w:rFonts w:hint="eastAsia" w:ascii="仿宋_GB2312" w:hAnsi="仿宋" w:eastAsia="仿宋_GB2312"/>
          <w:color w:val="000000"/>
          <w:szCs w:val="32"/>
        </w:rPr>
        <w:t>此外，建议将《明渠超声波测流工程技术规范》纳入相关工程项目的技术标准体系中，作为项目设计、施工和管理的重要依据。通过规范化管理和技术手段的有效结合，推动灌区水利工程建设和管理水平的整体提升，确保标准的应用真正落到实处，为灌区水资源的合理开发利用和保护提供有力保障。</w:t>
      </w:r>
    </w:p>
    <w:p>
      <w:pPr>
        <w:pStyle w:val="12"/>
        <w:numPr>
          <w:ilvl w:val="0"/>
          <w:numId w:val="1"/>
        </w:numPr>
        <w:spacing w:line="560" w:lineRule="exact"/>
        <w:ind w:firstLineChars="0"/>
        <w:rPr>
          <w:rFonts w:ascii="黑体" w:hAnsi="黑体" w:eastAsia="黑体" w:cs="黑体"/>
        </w:rPr>
      </w:pPr>
      <w:r>
        <w:rPr>
          <w:rFonts w:hint="eastAsia" w:ascii="黑体" w:hAnsi="黑体" w:eastAsia="黑体" w:cs="黑体"/>
        </w:rPr>
        <w:t>标准研讨会专家意见情况汇总表</w:t>
      </w:r>
    </w:p>
    <w:p>
      <w:pPr>
        <w:spacing w:line="560" w:lineRule="exact"/>
        <w:ind w:left="640"/>
        <w:jc w:val="center"/>
      </w:pPr>
      <w:r>
        <w:rPr>
          <w:rFonts w:hint="eastAsia"/>
        </w:rPr>
        <w:t>研讨会专家意见表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4"/>
        <w:gridCol w:w="1995"/>
        <w:gridCol w:w="3825"/>
        <w:gridCol w:w="2025"/>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spacing w:line="360" w:lineRule="auto"/>
              <w:jc w:val="center"/>
              <w:rPr>
                <w:sz w:val="24"/>
              </w:rPr>
            </w:pPr>
            <w:r>
              <w:rPr>
                <w:rFonts w:hint="eastAsia"/>
                <w:sz w:val="24"/>
              </w:rPr>
              <w:t>序号</w:t>
            </w:r>
          </w:p>
        </w:tc>
        <w:tc>
          <w:tcPr>
            <w:tcW w:w="1995" w:type="dxa"/>
            <w:vAlign w:val="center"/>
          </w:tcPr>
          <w:p>
            <w:pPr>
              <w:spacing w:line="360" w:lineRule="auto"/>
              <w:jc w:val="center"/>
              <w:rPr>
                <w:sz w:val="24"/>
              </w:rPr>
            </w:pPr>
            <w:r>
              <w:rPr>
                <w:rFonts w:hint="eastAsia"/>
                <w:sz w:val="24"/>
              </w:rPr>
              <w:t>标准章条编号</w:t>
            </w:r>
          </w:p>
        </w:tc>
        <w:tc>
          <w:tcPr>
            <w:tcW w:w="3825" w:type="dxa"/>
            <w:vAlign w:val="center"/>
          </w:tcPr>
          <w:p>
            <w:pPr>
              <w:spacing w:line="360" w:lineRule="auto"/>
              <w:jc w:val="center"/>
              <w:rPr>
                <w:sz w:val="24"/>
              </w:rPr>
            </w:pPr>
            <w:r>
              <w:rPr>
                <w:rFonts w:hint="eastAsia"/>
                <w:sz w:val="24"/>
              </w:rPr>
              <w:t>需要修改内容</w:t>
            </w:r>
          </w:p>
        </w:tc>
        <w:tc>
          <w:tcPr>
            <w:tcW w:w="2025" w:type="dxa"/>
            <w:vAlign w:val="center"/>
          </w:tcPr>
          <w:p>
            <w:pPr>
              <w:spacing w:line="360" w:lineRule="auto"/>
              <w:jc w:val="center"/>
              <w:rPr>
                <w:sz w:val="24"/>
              </w:rPr>
            </w:pPr>
            <w:r>
              <w:rPr>
                <w:rFonts w:hint="eastAsia"/>
                <w:sz w:val="24"/>
              </w:rPr>
              <w:t>提出专家</w:t>
            </w:r>
          </w:p>
        </w:tc>
        <w:tc>
          <w:tcPr>
            <w:tcW w:w="867" w:type="dxa"/>
            <w:vAlign w:val="center"/>
          </w:tcPr>
          <w:p>
            <w:pPr>
              <w:spacing w:line="360" w:lineRule="auto"/>
              <w:jc w:val="center"/>
              <w:rPr>
                <w:sz w:val="24"/>
              </w:rPr>
            </w:pPr>
            <w:r>
              <w:rPr>
                <w:rFonts w:hint="eastAsia"/>
                <w:sz w:val="24"/>
              </w:rPr>
              <w:t>采纳与否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spacing w:line="360" w:lineRule="auto"/>
              <w:jc w:val="center"/>
              <w:rPr>
                <w:sz w:val="24"/>
              </w:rPr>
            </w:pPr>
            <w:r>
              <w:rPr>
                <w:rFonts w:hint="eastAsia"/>
                <w:sz w:val="24"/>
              </w:rPr>
              <w:t>1</w:t>
            </w:r>
          </w:p>
        </w:tc>
        <w:tc>
          <w:tcPr>
            <w:tcW w:w="1995" w:type="dxa"/>
            <w:vAlign w:val="center"/>
          </w:tcPr>
          <w:p>
            <w:pPr>
              <w:spacing w:line="360" w:lineRule="auto"/>
              <w:jc w:val="center"/>
              <w:rPr>
                <w:sz w:val="24"/>
              </w:rPr>
            </w:pPr>
            <w:r>
              <w:rPr>
                <w:sz w:val="24"/>
              </w:rPr>
              <w:t>5-5.</w:t>
            </w:r>
            <w:r>
              <w:rPr>
                <w:rFonts w:hint="eastAsia"/>
                <w:sz w:val="24"/>
              </w:rPr>
              <w:t>3.4</w:t>
            </w:r>
          </w:p>
        </w:tc>
        <w:tc>
          <w:tcPr>
            <w:tcW w:w="3825" w:type="dxa"/>
            <w:vAlign w:val="center"/>
          </w:tcPr>
          <w:p>
            <w:pPr>
              <w:spacing w:line="360" w:lineRule="auto"/>
              <w:jc w:val="center"/>
              <w:rPr>
                <w:sz w:val="24"/>
              </w:rPr>
            </w:pPr>
            <w:r>
              <w:rPr>
                <w:rFonts w:hint="eastAsia"/>
                <w:sz w:val="24"/>
              </w:rPr>
              <w:t>添加“采集端应配备显示器”的详细内容</w:t>
            </w:r>
          </w:p>
        </w:tc>
        <w:tc>
          <w:tcPr>
            <w:tcW w:w="2025" w:type="dxa"/>
            <w:vAlign w:val="center"/>
          </w:tcPr>
          <w:p>
            <w:pPr>
              <w:spacing w:line="360" w:lineRule="auto"/>
              <w:jc w:val="center"/>
              <w:rPr>
                <w:rFonts w:hint="eastAsia"/>
                <w:sz w:val="24"/>
              </w:rPr>
            </w:pPr>
            <w:r>
              <w:rPr>
                <w:rFonts w:hint="eastAsia"/>
                <w:sz w:val="24"/>
              </w:rPr>
              <w:t>刘洪禄</w:t>
            </w:r>
          </w:p>
        </w:tc>
        <w:tc>
          <w:tcPr>
            <w:tcW w:w="867" w:type="dxa"/>
            <w:vAlign w:val="center"/>
          </w:tcPr>
          <w:p>
            <w:pPr>
              <w:spacing w:line="360" w:lineRule="auto"/>
              <w:jc w:val="center"/>
              <w:rPr>
                <w:sz w:val="24"/>
              </w:rPr>
            </w:pPr>
            <w:r>
              <w:rPr>
                <w:rFonts w:hint="eastAsia"/>
                <w:sz w:val="24"/>
              </w:rPr>
              <w:t>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dxa"/>
            <w:vAlign w:val="center"/>
          </w:tcPr>
          <w:p>
            <w:pPr>
              <w:spacing w:line="360" w:lineRule="auto"/>
              <w:jc w:val="center"/>
              <w:rPr>
                <w:sz w:val="24"/>
              </w:rPr>
            </w:pPr>
            <w:r>
              <w:rPr>
                <w:rFonts w:hint="eastAsia"/>
                <w:sz w:val="24"/>
              </w:rPr>
              <w:t>2</w:t>
            </w:r>
          </w:p>
        </w:tc>
        <w:tc>
          <w:tcPr>
            <w:tcW w:w="1995" w:type="dxa"/>
            <w:vAlign w:val="center"/>
          </w:tcPr>
          <w:p>
            <w:pPr>
              <w:spacing w:line="360" w:lineRule="auto"/>
              <w:jc w:val="center"/>
              <w:rPr>
                <w:sz w:val="24"/>
              </w:rPr>
            </w:pPr>
            <w:r>
              <w:rPr>
                <w:rFonts w:hint="eastAsia"/>
                <w:sz w:val="24"/>
              </w:rPr>
              <w:t>6-6.1.6</w:t>
            </w:r>
          </w:p>
        </w:tc>
        <w:tc>
          <w:tcPr>
            <w:tcW w:w="3825" w:type="dxa"/>
            <w:vAlign w:val="center"/>
          </w:tcPr>
          <w:p>
            <w:pPr>
              <w:spacing w:line="360" w:lineRule="auto"/>
              <w:jc w:val="center"/>
              <w:rPr>
                <w:sz w:val="24"/>
              </w:rPr>
            </w:pPr>
            <w:r>
              <w:rPr>
                <w:rFonts w:hint="eastAsia"/>
                <w:sz w:val="24"/>
              </w:rPr>
              <w:t>添加“连接线、连接接头”的建议防水等级</w:t>
            </w:r>
          </w:p>
        </w:tc>
        <w:tc>
          <w:tcPr>
            <w:tcW w:w="2025" w:type="dxa"/>
            <w:vAlign w:val="center"/>
          </w:tcPr>
          <w:p>
            <w:pPr>
              <w:spacing w:line="360" w:lineRule="auto"/>
              <w:jc w:val="center"/>
              <w:rPr>
                <w:rFonts w:hint="eastAsia"/>
                <w:sz w:val="24"/>
              </w:rPr>
            </w:pPr>
            <w:r>
              <w:rPr>
                <w:rFonts w:hint="eastAsia"/>
                <w:sz w:val="24"/>
              </w:rPr>
              <w:t>杨培岭</w:t>
            </w:r>
          </w:p>
        </w:tc>
        <w:tc>
          <w:tcPr>
            <w:tcW w:w="867" w:type="dxa"/>
            <w:vAlign w:val="center"/>
          </w:tcPr>
          <w:p>
            <w:pPr>
              <w:spacing w:line="360" w:lineRule="auto"/>
              <w:jc w:val="center"/>
              <w:rPr>
                <w:sz w:val="24"/>
              </w:rPr>
            </w:pPr>
            <w:r>
              <w:rPr>
                <w:rFonts w:hint="eastAsia"/>
                <w:sz w:val="24"/>
              </w:rPr>
              <w:t>采纳</w:t>
            </w:r>
          </w:p>
        </w:tc>
      </w:tr>
    </w:tbl>
    <w:p>
      <w:pPr>
        <w:spacing w:line="360" w:lineRule="auto"/>
        <w:jc w:val="center"/>
        <w:rPr>
          <w:sz w:val="24"/>
        </w:rPr>
      </w:pPr>
    </w:p>
    <w:sectPr>
      <w:footerReference r:id="rId5" w:type="default"/>
      <w:pgSz w:w="11906" w:h="16838"/>
      <w:pgMar w:top="1440" w:right="1466" w:bottom="1440" w:left="144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4956"/>
        <w:tab w:val="clear" w:pos="4153"/>
      </w:tabs>
      <w:ind w:right="360"/>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fldChar w:fldCharType="begin"/>
    </w:r>
    <w:r>
      <w:rPr>
        <w:rStyle w:val="9"/>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4956"/>
        <w:tab w:val="clear" w:pos="4153"/>
      </w:tabs>
      <w:ind w:right="360"/>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rPr>
                    <w:rStyle w:val="9"/>
                  </w:rPr>
                </w:pPr>
                <w:r>
                  <w:fldChar w:fldCharType="begin"/>
                </w:r>
                <w:r>
                  <w:rPr>
                    <w:rStyle w:val="9"/>
                  </w:rPr>
                  <w:instrText xml:space="preserve">PAGE  </w:instrText>
                </w:r>
                <w:r>
                  <w:fldChar w:fldCharType="separate"/>
                </w:r>
                <w:r>
                  <w:rPr>
                    <w:rStyle w:val="9"/>
                  </w:rPr>
                  <w:t>2</w:t>
                </w:r>
                <w:r>
                  <w:fldChar w:fldCharType="end"/>
                </w:r>
              </w:p>
            </w:txbxContent>
          </v:textbox>
        </v:shape>
      </w:pic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72B0C"/>
    <w:multiLevelType w:val="multilevel"/>
    <w:tmpl w:val="30572B0C"/>
    <w:lvl w:ilvl="0" w:tentative="0">
      <w:start w:val="7"/>
      <w:numFmt w:val="japaneseCounting"/>
      <w:lvlText w:val="%1、"/>
      <w:lvlJc w:val="left"/>
      <w:pPr>
        <w:ind w:left="1360" w:hanging="72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VmZDk3YTFkNzk1YjEzMDIzYjMyNmQ5NWFhZTM3ZjYifQ=="/>
    <w:docVar w:name="KSO_WPS_MARK_KEY" w:val="549cae16-bb85-46f1-b508-45de60f59bec"/>
  </w:docVars>
  <w:rsids>
    <w:rsidRoot w:val="00A32005"/>
    <w:rsid w:val="00043144"/>
    <w:rsid w:val="00061198"/>
    <w:rsid w:val="00075D95"/>
    <w:rsid w:val="00082AF5"/>
    <w:rsid w:val="0008488D"/>
    <w:rsid w:val="000956BF"/>
    <w:rsid w:val="000A5651"/>
    <w:rsid w:val="00104C95"/>
    <w:rsid w:val="0011103B"/>
    <w:rsid w:val="00144BF2"/>
    <w:rsid w:val="00152EE9"/>
    <w:rsid w:val="00193D04"/>
    <w:rsid w:val="001B4174"/>
    <w:rsid w:val="001D20B5"/>
    <w:rsid w:val="00216126"/>
    <w:rsid w:val="0022657C"/>
    <w:rsid w:val="002855B1"/>
    <w:rsid w:val="002B5322"/>
    <w:rsid w:val="002B7A3D"/>
    <w:rsid w:val="002F034C"/>
    <w:rsid w:val="00382DAE"/>
    <w:rsid w:val="00384748"/>
    <w:rsid w:val="00384C51"/>
    <w:rsid w:val="003A3AFE"/>
    <w:rsid w:val="003A4F3F"/>
    <w:rsid w:val="003E3FFA"/>
    <w:rsid w:val="003F480E"/>
    <w:rsid w:val="00427FAA"/>
    <w:rsid w:val="00481DD0"/>
    <w:rsid w:val="004B39F6"/>
    <w:rsid w:val="004D65D7"/>
    <w:rsid w:val="004D73BA"/>
    <w:rsid w:val="00566EAE"/>
    <w:rsid w:val="0059417A"/>
    <w:rsid w:val="005C4F13"/>
    <w:rsid w:val="005F28E7"/>
    <w:rsid w:val="00605ED2"/>
    <w:rsid w:val="00615A3C"/>
    <w:rsid w:val="006355EC"/>
    <w:rsid w:val="00691554"/>
    <w:rsid w:val="00697527"/>
    <w:rsid w:val="006E5C06"/>
    <w:rsid w:val="00721C10"/>
    <w:rsid w:val="00731C36"/>
    <w:rsid w:val="007513F7"/>
    <w:rsid w:val="007A02D2"/>
    <w:rsid w:val="007B4045"/>
    <w:rsid w:val="008344C0"/>
    <w:rsid w:val="00852D6C"/>
    <w:rsid w:val="008674E5"/>
    <w:rsid w:val="0087654E"/>
    <w:rsid w:val="00880B89"/>
    <w:rsid w:val="008E7942"/>
    <w:rsid w:val="00907929"/>
    <w:rsid w:val="00923E8F"/>
    <w:rsid w:val="00931611"/>
    <w:rsid w:val="00937EF4"/>
    <w:rsid w:val="00944AF7"/>
    <w:rsid w:val="00980A31"/>
    <w:rsid w:val="00982BD9"/>
    <w:rsid w:val="009A63D1"/>
    <w:rsid w:val="009A7605"/>
    <w:rsid w:val="009E3D0C"/>
    <w:rsid w:val="00A32005"/>
    <w:rsid w:val="00A4460D"/>
    <w:rsid w:val="00A85D03"/>
    <w:rsid w:val="00AC0E71"/>
    <w:rsid w:val="00B10C53"/>
    <w:rsid w:val="00B329FA"/>
    <w:rsid w:val="00B34F13"/>
    <w:rsid w:val="00B46CA3"/>
    <w:rsid w:val="00B808B7"/>
    <w:rsid w:val="00BB462D"/>
    <w:rsid w:val="00BF0F2B"/>
    <w:rsid w:val="00C242D3"/>
    <w:rsid w:val="00C33A4D"/>
    <w:rsid w:val="00D02BA3"/>
    <w:rsid w:val="00D257B2"/>
    <w:rsid w:val="00D5353F"/>
    <w:rsid w:val="00D80127"/>
    <w:rsid w:val="00D92535"/>
    <w:rsid w:val="00D96C92"/>
    <w:rsid w:val="00E308CF"/>
    <w:rsid w:val="00E34DA1"/>
    <w:rsid w:val="00E44363"/>
    <w:rsid w:val="00E80370"/>
    <w:rsid w:val="00E927D8"/>
    <w:rsid w:val="00E961D9"/>
    <w:rsid w:val="00EC663D"/>
    <w:rsid w:val="00EE3260"/>
    <w:rsid w:val="00EE4579"/>
    <w:rsid w:val="00F2304B"/>
    <w:rsid w:val="00F527E0"/>
    <w:rsid w:val="00F56851"/>
    <w:rsid w:val="00F86596"/>
    <w:rsid w:val="00F944C5"/>
    <w:rsid w:val="017716F4"/>
    <w:rsid w:val="018F2EE2"/>
    <w:rsid w:val="01C012ED"/>
    <w:rsid w:val="0273010D"/>
    <w:rsid w:val="0323736C"/>
    <w:rsid w:val="03BE5C4F"/>
    <w:rsid w:val="04730898"/>
    <w:rsid w:val="0495080F"/>
    <w:rsid w:val="055C5DBF"/>
    <w:rsid w:val="05726DA2"/>
    <w:rsid w:val="05BB49FE"/>
    <w:rsid w:val="063D515E"/>
    <w:rsid w:val="06D73361"/>
    <w:rsid w:val="06F45206"/>
    <w:rsid w:val="0753050D"/>
    <w:rsid w:val="07552EDF"/>
    <w:rsid w:val="07612C2A"/>
    <w:rsid w:val="07630750"/>
    <w:rsid w:val="077741FC"/>
    <w:rsid w:val="07FB3286"/>
    <w:rsid w:val="0842480A"/>
    <w:rsid w:val="084F33CB"/>
    <w:rsid w:val="086504F8"/>
    <w:rsid w:val="08BA4CE8"/>
    <w:rsid w:val="09D30AD6"/>
    <w:rsid w:val="0B712183"/>
    <w:rsid w:val="0C50326D"/>
    <w:rsid w:val="0CDB6D52"/>
    <w:rsid w:val="0D58062B"/>
    <w:rsid w:val="0DA22C7A"/>
    <w:rsid w:val="0E666D78"/>
    <w:rsid w:val="0EBE4E06"/>
    <w:rsid w:val="0F8E2A2A"/>
    <w:rsid w:val="0FD018F0"/>
    <w:rsid w:val="100030EB"/>
    <w:rsid w:val="10321608"/>
    <w:rsid w:val="110A79DC"/>
    <w:rsid w:val="110F36F7"/>
    <w:rsid w:val="12105979"/>
    <w:rsid w:val="12614426"/>
    <w:rsid w:val="12F6691D"/>
    <w:rsid w:val="139D362F"/>
    <w:rsid w:val="149C34F4"/>
    <w:rsid w:val="14DC1B42"/>
    <w:rsid w:val="1525798D"/>
    <w:rsid w:val="15F1786F"/>
    <w:rsid w:val="16175528"/>
    <w:rsid w:val="16AB2114"/>
    <w:rsid w:val="1719707D"/>
    <w:rsid w:val="18CF0D54"/>
    <w:rsid w:val="19AF5A77"/>
    <w:rsid w:val="1A27385F"/>
    <w:rsid w:val="1A2E4BEE"/>
    <w:rsid w:val="1AD927C9"/>
    <w:rsid w:val="1BDB5453"/>
    <w:rsid w:val="1C8A7A20"/>
    <w:rsid w:val="1C8F10A8"/>
    <w:rsid w:val="1CCB1BEA"/>
    <w:rsid w:val="1D022362"/>
    <w:rsid w:val="1D48246B"/>
    <w:rsid w:val="1D4A4435"/>
    <w:rsid w:val="1DE957BD"/>
    <w:rsid w:val="1E091A81"/>
    <w:rsid w:val="1F7E2174"/>
    <w:rsid w:val="1F9E45C4"/>
    <w:rsid w:val="1FA85442"/>
    <w:rsid w:val="1FDC6E9A"/>
    <w:rsid w:val="1FE53F51"/>
    <w:rsid w:val="20234AC9"/>
    <w:rsid w:val="20A53730"/>
    <w:rsid w:val="20AF45AF"/>
    <w:rsid w:val="2142760F"/>
    <w:rsid w:val="21570ECE"/>
    <w:rsid w:val="219A0DBB"/>
    <w:rsid w:val="220772A2"/>
    <w:rsid w:val="226A2E83"/>
    <w:rsid w:val="22D93B65"/>
    <w:rsid w:val="23360FB7"/>
    <w:rsid w:val="233F60BE"/>
    <w:rsid w:val="23A81EB5"/>
    <w:rsid w:val="242A28CA"/>
    <w:rsid w:val="24F44E2B"/>
    <w:rsid w:val="254E25E8"/>
    <w:rsid w:val="26655E3B"/>
    <w:rsid w:val="27C70430"/>
    <w:rsid w:val="27CE5C62"/>
    <w:rsid w:val="28DC43AF"/>
    <w:rsid w:val="29161FA6"/>
    <w:rsid w:val="291D7223"/>
    <w:rsid w:val="2A426494"/>
    <w:rsid w:val="2A510485"/>
    <w:rsid w:val="2CC338BC"/>
    <w:rsid w:val="2CDB4953"/>
    <w:rsid w:val="2DAF2092"/>
    <w:rsid w:val="2E3A195C"/>
    <w:rsid w:val="2E9F2106"/>
    <w:rsid w:val="2F3C0F4C"/>
    <w:rsid w:val="2F890650"/>
    <w:rsid w:val="2FD20091"/>
    <w:rsid w:val="2FD61105"/>
    <w:rsid w:val="300E30A0"/>
    <w:rsid w:val="314B3E80"/>
    <w:rsid w:val="31662A68"/>
    <w:rsid w:val="32D63C1D"/>
    <w:rsid w:val="32FC3357"/>
    <w:rsid w:val="3445105A"/>
    <w:rsid w:val="34637732"/>
    <w:rsid w:val="34C208FD"/>
    <w:rsid w:val="34CA155F"/>
    <w:rsid w:val="354D6418"/>
    <w:rsid w:val="35F04FF6"/>
    <w:rsid w:val="35F73632"/>
    <w:rsid w:val="36721EAF"/>
    <w:rsid w:val="378254C0"/>
    <w:rsid w:val="385555E4"/>
    <w:rsid w:val="38D429AD"/>
    <w:rsid w:val="38EF3C8A"/>
    <w:rsid w:val="39D569DC"/>
    <w:rsid w:val="3A0C557A"/>
    <w:rsid w:val="3A310ECD"/>
    <w:rsid w:val="3B3140E6"/>
    <w:rsid w:val="3BA26D92"/>
    <w:rsid w:val="3C125CC6"/>
    <w:rsid w:val="3DA7335C"/>
    <w:rsid w:val="3DDF42CD"/>
    <w:rsid w:val="3E467EA9"/>
    <w:rsid w:val="3E9055C8"/>
    <w:rsid w:val="3F4E50D7"/>
    <w:rsid w:val="404E501F"/>
    <w:rsid w:val="4074718C"/>
    <w:rsid w:val="412070D7"/>
    <w:rsid w:val="41640DB8"/>
    <w:rsid w:val="41686388"/>
    <w:rsid w:val="41E24858"/>
    <w:rsid w:val="432718E8"/>
    <w:rsid w:val="43373C78"/>
    <w:rsid w:val="43BB30E7"/>
    <w:rsid w:val="440305EA"/>
    <w:rsid w:val="44031873"/>
    <w:rsid w:val="44A548B2"/>
    <w:rsid w:val="454D194C"/>
    <w:rsid w:val="46276812"/>
    <w:rsid w:val="464B69A4"/>
    <w:rsid w:val="468E6891"/>
    <w:rsid w:val="47631ACB"/>
    <w:rsid w:val="478C6D00"/>
    <w:rsid w:val="47B24801"/>
    <w:rsid w:val="47EE4F53"/>
    <w:rsid w:val="480D7C89"/>
    <w:rsid w:val="483F42E6"/>
    <w:rsid w:val="48E22EC4"/>
    <w:rsid w:val="49154341"/>
    <w:rsid w:val="492359B6"/>
    <w:rsid w:val="4A143551"/>
    <w:rsid w:val="4A447E61"/>
    <w:rsid w:val="4A9401EE"/>
    <w:rsid w:val="4C567E51"/>
    <w:rsid w:val="4CB86415"/>
    <w:rsid w:val="4D754306"/>
    <w:rsid w:val="4D966ECF"/>
    <w:rsid w:val="4DFE0EFB"/>
    <w:rsid w:val="4E936D6F"/>
    <w:rsid w:val="4EEE4370"/>
    <w:rsid w:val="4F561F16"/>
    <w:rsid w:val="4F7A3E56"/>
    <w:rsid w:val="4F9A62A6"/>
    <w:rsid w:val="4FC326FC"/>
    <w:rsid w:val="50025BF9"/>
    <w:rsid w:val="50410FC1"/>
    <w:rsid w:val="516928B5"/>
    <w:rsid w:val="524F5101"/>
    <w:rsid w:val="537137C2"/>
    <w:rsid w:val="538F3C48"/>
    <w:rsid w:val="539F3513"/>
    <w:rsid w:val="53E67D0C"/>
    <w:rsid w:val="53FA37B7"/>
    <w:rsid w:val="54790B80"/>
    <w:rsid w:val="547A66A6"/>
    <w:rsid w:val="54A84FC1"/>
    <w:rsid w:val="54E51D72"/>
    <w:rsid w:val="55230AEC"/>
    <w:rsid w:val="558477DD"/>
    <w:rsid w:val="563E1755"/>
    <w:rsid w:val="56AB6FEB"/>
    <w:rsid w:val="57101FE7"/>
    <w:rsid w:val="572A43B4"/>
    <w:rsid w:val="57430FD1"/>
    <w:rsid w:val="577D0987"/>
    <w:rsid w:val="5783173F"/>
    <w:rsid w:val="58622276"/>
    <w:rsid w:val="5875460E"/>
    <w:rsid w:val="587D49B7"/>
    <w:rsid w:val="587F6039"/>
    <w:rsid w:val="58C47EF0"/>
    <w:rsid w:val="598D6A8B"/>
    <w:rsid w:val="59F760A3"/>
    <w:rsid w:val="5B7508EA"/>
    <w:rsid w:val="5D047455"/>
    <w:rsid w:val="5DD010E5"/>
    <w:rsid w:val="601E438A"/>
    <w:rsid w:val="60273B97"/>
    <w:rsid w:val="60714E01"/>
    <w:rsid w:val="608368E3"/>
    <w:rsid w:val="613227E3"/>
    <w:rsid w:val="613D2F35"/>
    <w:rsid w:val="61532759"/>
    <w:rsid w:val="62856942"/>
    <w:rsid w:val="640F0BB9"/>
    <w:rsid w:val="64405216"/>
    <w:rsid w:val="650A2FF2"/>
    <w:rsid w:val="663423A3"/>
    <w:rsid w:val="66A575B3"/>
    <w:rsid w:val="67256946"/>
    <w:rsid w:val="675A5253"/>
    <w:rsid w:val="689449C8"/>
    <w:rsid w:val="689E69AF"/>
    <w:rsid w:val="691C1682"/>
    <w:rsid w:val="69323BE5"/>
    <w:rsid w:val="69A91168"/>
    <w:rsid w:val="6B6A0DCB"/>
    <w:rsid w:val="6BCB7ABB"/>
    <w:rsid w:val="6D231231"/>
    <w:rsid w:val="6D544CBE"/>
    <w:rsid w:val="6D561607"/>
    <w:rsid w:val="6D793547"/>
    <w:rsid w:val="6D7952F5"/>
    <w:rsid w:val="6E7A1325"/>
    <w:rsid w:val="6EF15529"/>
    <w:rsid w:val="6F5558EE"/>
    <w:rsid w:val="6F8F7052"/>
    <w:rsid w:val="6FDB4045"/>
    <w:rsid w:val="6FE949B4"/>
    <w:rsid w:val="700510C2"/>
    <w:rsid w:val="70194B6E"/>
    <w:rsid w:val="716360A0"/>
    <w:rsid w:val="71671FF9"/>
    <w:rsid w:val="73025106"/>
    <w:rsid w:val="73161C4E"/>
    <w:rsid w:val="736327EE"/>
    <w:rsid w:val="737A3B75"/>
    <w:rsid w:val="73947B04"/>
    <w:rsid w:val="73B6603A"/>
    <w:rsid w:val="73BB0416"/>
    <w:rsid w:val="74F6722B"/>
    <w:rsid w:val="75151DA7"/>
    <w:rsid w:val="75297601"/>
    <w:rsid w:val="754D7793"/>
    <w:rsid w:val="76486327"/>
    <w:rsid w:val="76E74CEF"/>
    <w:rsid w:val="76FA74A7"/>
    <w:rsid w:val="77770AF7"/>
    <w:rsid w:val="77E86349"/>
    <w:rsid w:val="788B1CC4"/>
    <w:rsid w:val="799960B8"/>
    <w:rsid w:val="7A454EDD"/>
    <w:rsid w:val="7AF661D7"/>
    <w:rsid w:val="7B152B01"/>
    <w:rsid w:val="7B933A26"/>
    <w:rsid w:val="7B9521E7"/>
    <w:rsid w:val="7C127041"/>
    <w:rsid w:val="7C3C1099"/>
    <w:rsid w:val="7E0E1A8A"/>
    <w:rsid w:val="7E7A42F4"/>
    <w:rsid w:val="7E9B65C0"/>
    <w:rsid w:val="7F016EF9"/>
    <w:rsid w:val="7F247147"/>
    <w:rsid w:val="7F732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szCs w:val="24"/>
      <w:lang w:val="en-US" w:eastAsia="zh-CN" w:bidi="ar-SA"/>
    </w:rPr>
  </w:style>
  <w:style w:type="paragraph" w:styleId="3">
    <w:name w:val="heading 3"/>
    <w:basedOn w:val="1"/>
    <w:next w:val="1"/>
    <w:qFormat/>
    <w:uiPriority w:val="0"/>
    <w:pPr>
      <w:keepNext/>
      <w:keepLines/>
      <w:spacing w:before="260" w:after="260" w:line="416" w:lineRule="auto"/>
      <w:outlineLvl w:val="2"/>
    </w:pPr>
    <w:rPr>
      <w:b/>
      <w:bCs/>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0"/>
    <w:rPr>
      <w:sz w:val="18"/>
      <w:szCs w:val="18"/>
    </w:rPr>
  </w:style>
  <w:style w:type="paragraph" w:styleId="12">
    <w:name w:val="List Paragraph"/>
    <w:basedOn w:val="1"/>
    <w:qFormat/>
    <w:uiPriority w:val="34"/>
    <w:pPr>
      <w:ind w:firstLine="420" w:firstLineChars="200"/>
    </w:pPr>
  </w:style>
  <w:style w:type="paragraph" w:customStyle="1" w:styleId="13">
    <w:name w:val="样式 WJH正文 + 小四 首行缩进:  2 字符"/>
    <w:basedOn w:val="1"/>
    <w:qFormat/>
    <w:uiPriority w:val="0"/>
    <w:pPr>
      <w:spacing w:line="500" w:lineRule="exact"/>
      <w:ind w:firstLine="200" w:firstLineChars="200"/>
    </w:pPr>
    <w:rPr>
      <w:rFonts w:eastAsia="仿宋_GB2312" w:cs="宋体"/>
      <w:kern w:val="0"/>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402</Words>
  <Characters>2292</Characters>
  <Lines>19</Lines>
  <Paragraphs>5</Paragraphs>
  <TotalTime>20</TotalTime>
  <ScaleCrop>false</ScaleCrop>
  <LinksUpToDate>false</LinksUpToDate>
  <CharactersWithSpaces>2689</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2022-04-27T14:29:00Z</dcterms:created>
  <dc:creator>cq</dc:creator>
  <cp:lastModifiedBy>Administrator</cp:lastModifiedBy>
  <cp:lastPrinted>2023-03-21T01:40:00Z</cp:lastPrinted>
  <dcterms:modified xsi:type="dcterms:W3CDTF">2024-06-20T14:02:49Z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A93AA94C800D4DEF8A5F1734172B6D8F</vt:lpwstr>
  </property>
</Properties>
</file>