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68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14:ligatures w14:val="standardContextual"/>
        </w:rPr>
        <w:t>巴彦淖尔市优化营商环境实施方案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  <w14:ligatures w14:val="standardContextual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14:ligatures w14:val="standardContextual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  <w14:ligatures w14:val="standardContextual"/>
        </w:rPr>
        <w:t>）</w:t>
      </w:r>
    </w:p>
    <w:p w14:paraId="26D0F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jc w:val="center"/>
        <w:textAlignment w:val="auto"/>
        <w:rPr>
          <w:rFonts w:hint="default" w:ascii="Times New Roman" w:hAnsi="Times New Roman" w:eastAsia="楷体_GB2312" w:cs="Times New Roman"/>
          <w:sz w:val="36"/>
          <w:szCs w:val="36"/>
          <w14:ligatures w14:val="standardContextual"/>
        </w:rPr>
      </w:pPr>
      <w:bookmarkStart w:id="0" w:name="_GoBack"/>
      <w:bookmarkEnd w:id="0"/>
    </w:p>
    <w:p w14:paraId="2F9FF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</w:pPr>
      <w:r>
        <w:rPr>
          <w:rFonts w:hint="default" w:ascii="Times New Roman" w:hAnsi="Times New Roman" w:eastAsia="楷体_GB2312" w:cs="Times New Roman"/>
          <w:sz w:val="36"/>
          <w:szCs w:val="36"/>
          <w14:ligatures w14:val="standardContextual"/>
        </w:rPr>
        <w:t>（</w:t>
      </w:r>
      <w:r>
        <w:rPr>
          <w:rFonts w:hint="eastAsia" w:ascii="方正楷体_GB2312" w:hAnsi="方正楷体_GB2312" w:eastAsia="方正楷体_GB2312" w:cs="方正楷体_GB2312"/>
          <w:sz w:val="36"/>
          <w:szCs w:val="36"/>
          <w:lang w:val="en-US" w:eastAsia="zh-CN"/>
          <w14:ligatures w14:val="standardContextual"/>
        </w:rPr>
        <w:t>征求意见</w:t>
      </w:r>
      <w:r>
        <w:rPr>
          <w:rFonts w:hint="eastAsia" w:ascii="方正楷体_GB2312" w:hAnsi="方正楷体_GB2312" w:eastAsia="方正楷体_GB2312" w:cs="方正楷体_GB2312"/>
          <w:sz w:val="36"/>
          <w:szCs w:val="36"/>
          <w14:ligatures w14:val="standardContextual"/>
        </w:rPr>
        <w:t>稿</w:t>
      </w:r>
      <w:r>
        <w:rPr>
          <w:rFonts w:hint="default" w:ascii="Times New Roman" w:hAnsi="Times New Roman" w:eastAsia="楷体_GB2312" w:cs="Times New Roman"/>
          <w:sz w:val="36"/>
          <w:szCs w:val="36"/>
          <w14:ligatures w14:val="standardContextual"/>
        </w:rPr>
        <w:t>）</w:t>
      </w:r>
    </w:p>
    <w:p w14:paraId="5ED2B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</w:pPr>
    </w:p>
    <w:p w14:paraId="4AD14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为深入贯彻落实党中央、国务院及自治区党委、政府决策部署，以铸牢中华民族共同体意识为工作主线，破解经营主体生产经营堵点难点问题，持续打造市场化、法治化、国际化一流营商环境，结合我市实际，制定本方案。</w:t>
      </w:r>
    </w:p>
    <w:p w14:paraId="11322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1、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规范招商引资政策执行与信息公开，建强专业化招商队伍，提升市场化招商质效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。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落实民间投资支持政策，常态化向民间资本推介项目。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（市投促中心、市发展改革委按职责分工负责）</w:t>
      </w:r>
    </w:p>
    <w:p w14:paraId="00E93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2、严格落实招投标公平竞争审查制度，对招标文件实行发布前智能分析预警，提升穿透式监管能力。完善招投标异常低价甄别处置机制，切实维护统一开放、公平高效的市场秩序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（市公共资源交易中心、市市场监管局、各行业主管部门按职责分工负责）</w:t>
      </w:r>
    </w:p>
    <w:p w14:paraId="6BB94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1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3、推动重点领域营商环境改革，各领域行业主管部门主动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下放权限，持续优化审批流程、精简环节、压缩时限，提升审批效能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。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实施政务服务优化提升行动，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深化“高效办成一件事”改革，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鼓励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各地各部门打造特色服务事项。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（市政数局、市各有关部门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  <w14:ligatures w14:val="standardContextual"/>
        </w:rPr>
        <w:t>、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standardContextual"/>
        </w:rPr>
        <w:t>各旗县区人民政府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按职责分工负责）</w:t>
      </w:r>
    </w:p>
    <w:p w14:paraId="2CE0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1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4、在政务服务、社会治理、机关办公、辅助决策等领域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推广“人工智能+政务”应用，推动政务系统业务协同与数据共享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（市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standardContextual"/>
        </w:rPr>
        <w:t>政数局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负责）</w:t>
      </w:r>
    </w:p>
    <w:p w14:paraId="07C90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1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5、完善工程审批系统功能，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上线智能客服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功能、审批进度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可视化模块，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提升运行效能和用户体验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standardContextual"/>
        </w:rPr>
        <w:t>（市住建局、市政数局按职责分工负责）</w:t>
      </w:r>
    </w:p>
    <w:p w14:paraId="61F00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1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6、各行业主管部门做好各自领域信用修复工作。在办理行政审批、项目申报、政府采购、招标投标等事项时，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严格执行信用信息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审查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制度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。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全面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推行专项信用报告替代无违法违规记录证明。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standardContextual"/>
        </w:rPr>
        <w:t>各行业主管部门按职责分工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负责）</w:t>
      </w:r>
    </w:p>
    <w:p w14:paraId="46C04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1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7、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优化政府采购服务，落实中小微企业预留份额、价格扣除等优惠政策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。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完善“政采贷”联动机制，推动政府采购信息与金融机构共享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（市财政局负责）</w:t>
      </w:r>
    </w:p>
    <w:p w14:paraId="04C1F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1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8、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扩大续贷政策覆盖面，强化小微企业融资服务，推广应用自治区融资信用服务平台。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（国家金融监督管理总局巴彦淖尔监管分局、中国人民银行巴彦淖尔市分行、市发展改革委按职责分工负责）</w:t>
      </w:r>
    </w:p>
    <w:p w14:paraId="33D8F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firstLine="641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9、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推广运用自治区“免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申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即享”功能平台并统筹推进政策兑现落地。建立中央预算内补助资金直达企业机制，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快速释放惠企政策红利，推动投资项目尽早投产见效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standardContextual"/>
        </w:rPr>
        <w:t>（市政数局、市财政局按职责分工负责）</w:t>
      </w:r>
    </w:p>
    <w:p w14:paraId="0E7C8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10、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强化科技创新政策供给，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落实科技投入稳定增长机制，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培育创新主体、建设创新载体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。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聚焦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现代农牧业、生物医药、新材料等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优势特色产业开展技术攻关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促进科技成果转化应用，强化知识产权保护。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（市科技局、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standardContextual"/>
        </w:rPr>
        <w:t>市市场监管局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按职责分工负责）</w:t>
      </w:r>
    </w:p>
    <w:p w14:paraId="5943F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11、开展稳岗扩容提质专项行动，全面落实各项就业扶持政策。常态化开展针对性职业技能培训，推动用工需求与劳动力精准匹配，提升全市城镇新增就业规模。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standardContextual"/>
        </w:rPr>
        <w:t>（市人社局负责）</w:t>
      </w:r>
    </w:p>
    <w:p w14:paraId="10089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12、开展国家农高区建设提升行动，发挥科技平台牵引作用，围绕智慧农牧场、盐碱地综合利用、高效节水等方面，打造一批现代高效农业综合应用场景。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standardContextual"/>
        </w:rPr>
        <w:t>农高区管委会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  <w14:ligatures w14:val="standardContextual"/>
        </w:rPr>
        <w:t>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市农牧局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  <w14:ligatures w14:val="standardContextual"/>
        </w:rPr>
        <w:t>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standardContextual"/>
        </w:rPr>
        <w:t>市科技局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按职责分工负责）</w:t>
      </w:r>
    </w:p>
    <w:p w14:paraId="55B7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eastAsia="zh-CN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13、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全面推行“双随机、一公开”、跨部门综合监管、包容审慎监管、非现场监管，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做到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“无事不扰”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。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实行涉企行政执法主体、执法事项清单化管理，严格执行“扫码入企”、亮码检查制度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（市市场监管局、市司法局、各行政执法部门按职责分工负责）</w:t>
      </w:r>
    </w:p>
    <w:p w14:paraId="50CD4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14、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拓展轻微违法免罚事项、细化减轻处罚情形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。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畅通违规执法投诉举报渠道，依法保障经营主体拒绝违规检查的权利。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（市司法局、各行政执法部门按职责分工负责）</w:t>
      </w:r>
    </w:p>
    <w:p w14:paraId="4CADF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15、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落实行政处罚决定书与信用修复提示函“两书同达”，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引导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企业及时修复信用。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（各行政执法部门按职责分工负责）</w:t>
      </w:r>
    </w:p>
    <w:p w14:paraId="04BC0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16、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开展政府拖欠企业账款专项清理行动，推动国有企业带头清欠并纳入业绩考核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。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加大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对国家机关、事业单位、国有企业拖欠企业账款案件的执行力度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（市工信局、市国资委、市中级人民法院、市公安局按职责分工负责）</w:t>
      </w:r>
    </w:p>
    <w:p w14:paraId="456F3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17、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规范涉案财物查封、扣押、冻结程序，严禁超权限、超范围、超期限采取强制措施，建立执法监督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管理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机制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（市中级人民法院、市公安局、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standardContextual"/>
        </w:rPr>
        <w:t>市人民检察院、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市司法局按职责分工负责）</w:t>
      </w:r>
    </w:p>
    <w:p w14:paraId="33DCA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18、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严厉打击造谣诬告、恶意举报、职业索赔等侵害企业和企业家合法权益行为，维护市场正常经营秩序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（市公安局负责）</w:t>
      </w:r>
    </w:p>
    <w:p w14:paraId="4C119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19、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加快口岸基础设施数字化、智能化升级，深化边腹互动，大力发展落地加工产业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。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加快智慧口岸、绿色口岸建设，推进“边检快捷通关系统”国家试点。深度参与“一带一路”和中蒙俄经济走廊建设，主动融入中国（内蒙古）自由贸易试验区建设。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standardContextual"/>
        </w:rPr>
        <w:t>（甘其毛都口岸管委会、市商务局、乌拉特海关、甘其毛都出入境边防检查站按职责分工负责）</w:t>
      </w:r>
    </w:p>
    <w:p w14:paraId="39381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20、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落实外商投资国民待遇，加强外商投资合法权益保护，落实财税支持政策，便利外资企业再投资，主动对接引进优质外资项目。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（市商务局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  <w14:ligatures w14:val="standardContextual"/>
        </w:rPr>
        <w:t>、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市财政局、市发展改革委、市税务局按职责分工负责）</w:t>
      </w:r>
    </w:p>
    <w:p w14:paraId="2B8DF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21、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开展跨境贸易便利化专项行动，优化货物通关模式与监管方式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。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支持企业拓展海外市场，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加强与东南亚、中亚、欧盟等地区合作，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扩大农畜产品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、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新能源装备等</w:t>
      </w:r>
      <w:r>
        <w:rPr>
          <w:rFonts w:hint="default" w:ascii="Times New Roman" w:hAnsi="Times New Roman" w:eastAsia="仿宋_GB2312" w:cs="Times New Roman"/>
          <w:sz w:val="36"/>
          <w:szCs w:val="36"/>
          <w14:ligatures w14:val="standardContextual"/>
        </w:rPr>
        <w:t>出口规模。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（市商务局、乌拉特海关、甘其毛都出入境边防检查站按职责分工负责）</w:t>
      </w:r>
    </w:p>
    <w:p w14:paraId="7204A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7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  <w14:ligatures w14:val="standardContextual"/>
        </w:rPr>
        <w:t>22、</w:t>
      </w:r>
      <w:r>
        <w:rPr>
          <w:rFonts w:hint="default" w:ascii="Times New Roman" w:hAnsi="Times New Roman" w:eastAsia="仿宋_GB2312" w:cs="Times New Roman"/>
          <w:sz w:val="36"/>
          <w:szCs w:val="36"/>
          <w:lang w:eastAsia="zh-CN"/>
          <w14:ligatures w14:val="standardContextual"/>
        </w:rPr>
        <w:t>建立常态化营商环境监测机制，紧扣自治区评估指标体系与年度改革重点，推动营商环境建设由年终集中攻坚向常态提质增效转变。深入开展营商环境质量提升年行动，常态化推进“微改革”与“揭榜挂帅”，打造特色营商环境品牌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14:ligatures w14:val="standardContextual"/>
        </w:rPr>
        <w:t>（市发展改革委、市各相关部门、各旗县区人民政府按职责分工负责）</w:t>
      </w:r>
    </w:p>
    <w:sectPr>
      <w:footerReference r:id="rId3" w:type="default"/>
      <w:pgSz w:w="11906" w:h="16838"/>
      <w:pgMar w:top="1587" w:right="1474" w:bottom="158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F51D13C-C5DC-4A53-8D57-4C755547BF56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A091775A-B78F-4C38-AB1B-820CED21660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6BFAD2C-1265-4202-9F04-7118348BCD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C89C9D2-BA38-4560-84AA-B479249EE0E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13AA3E7-DE73-48C3-8366-6FEBC07BA3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382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41005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41005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5043D"/>
    <w:rsid w:val="022A26A7"/>
    <w:rsid w:val="02C14713"/>
    <w:rsid w:val="04645078"/>
    <w:rsid w:val="04D56E5D"/>
    <w:rsid w:val="05C45142"/>
    <w:rsid w:val="096133B5"/>
    <w:rsid w:val="09FE0C04"/>
    <w:rsid w:val="11270700"/>
    <w:rsid w:val="119360D6"/>
    <w:rsid w:val="14E3762E"/>
    <w:rsid w:val="179901BE"/>
    <w:rsid w:val="191260DB"/>
    <w:rsid w:val="19CC487B"/>
    <w:rsid w:val="19FD2C86"/>
    <w:rsid w:val="1C0C134A"/>
    <w:rsid w:val="1CA26872"/>
    <w:rsid w:val="20415497"/>
    <w:rsid w:val="209B180C"/>
    <w:rsid w:val="2135043D"/>
    <w:rsid w:val="23DD1433"/>
    <w:rsid w:val="2423153B"/>
    <w:rsid w:val="2916066A"/>
    <w:rsid w:val="29DA554C"/>
    <w:rsid w:val="33DE56E7"/>
    <w:rsid w:val="36062A6B"/>
    <w:rsid w:val="36A864C7"/>
    <w:rsid w:val="36B64491"/>
    <w:rsid w:val="384A76A4"/>
    <w:rsid w:val="3C236D65"/>
    <w:rsid w:val="3D9727FB"/>
    <w:rsid w:val="3EB06E76"/>
    <w:rsid w:val="40035422"/>
    <w:rsid w:val="40DB376D"/>
    <w:rsid w:val="423A41C8"/>
    <w:rsid w:val="4543393B"/>
    <w:rsid w:val="46184820"/>
    <w:rsid w:val="49351245"/>
    <w:rsid w:val="4C435E69"/>
    <w:rsid w:val="4DFC03F6"/>
    <w:rsid w:val="4E1C29D4"/>
    <w:rsid w:val="4FE52909"/>
    <w:rsid w:val="51571481"/>
    <w:rsid w:val="544555FD"/>
    <w:rsid w:val="54AA0D3A"/>
    <w:rsid w:val="60D25D77"/>
    <w:rsid w:val="63F109D0"/>
    <w:rsid w:val="6B39651C"/>
    <w:rsid w:val="6D9B716A"/>
    <w:rsid w:val="6E136EB3"/>
    <w:rsid w:val="6E9C74ED"/>
    <w:rsid w:val="6EE26ED2"/>
    <w:rsid w:val="710B4B11"/>
    <w:rsid w:val="71871A0A"/>
    <w:rsid w:val="72746C97"/>
    <w:rsid w:val="73D03795"/>
    <w:rsid w:val="73F45686"/>
    <w:rsid w:val="74C72DEA"/>
    <w:rsid w:val="762027B2"/>
    <w:rsid w:val="77B7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7fa408-bdf1-4472-acbf-bf6398eca7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2163</Words>
  <Characters>2179</Characters>
  <Lines>0</Lines>
  <Paragraphs>0</Paragraphs>
  <TotalTime>8</TotalTime>
  <ScaleCrop>false</ScaleCrop>
  <LinksUpToDate>false</LinksUpToDate>
  <CharactersWithSpaces>2179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2026-04-10T05:26:00Z</dcterms:created>
  <dc:creator>Jack</dc:creator>
  <cp:lastModifiedBy>Jack</cp:lastModifiedBy>
  <dcterms:modified xsi:type="dcterms:W3CDTF">2026-04-14T09:20:58Z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525C6DC092A04828836011569B485B9A_13</vt:lpwstr>
  </property>
  <property fmtid="{D5CDD505-2E9C-101B-9397-08002B2CF9AE}" pid="4" name="KSOTemplateDocerSaveRecord">
    <vt:lpwstr>eyJoZGlkIjoiNzdlMWM4YzkwMWY0NGVmYmEzMzJiODVlNjMxN2IxZjMiLCJ1c2VySWQiOiIyNjk4MDExMjIifQ==</vt:lpwstr>
  </property>
</Properties>
</file>