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2FBC1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val="en-US" w:eastAsia="zh-CN"/>
        </w:rPr>
      </w:pPr>
      <w:bookmarkStart w:id="0" w:name="_GoBack"/>
      <w:r>
        <w:rPr>
          <w:rFonts w:hint="default" w:ascii="Times New Roman" w:hAnsi="Times New Roman" w:eastAsia="方正小标宋简体" w:cs="Times New Roman"/>
          <w:sz w:val="44"/>
          <w:szCs w:val="44"/>
          <w:lang w:val="en-US" w:eastAsia="zh-CN"/>
        </w:rPr>
        <w:t>巴彦淖尔市水利局</w:t>
      </w:r>
      <w:r>
        <w:rPr>
          <w:rFonts w:hint="default" w:ascii="Times New Roman" w:hAnsi="Times New Roman" w:eastAsia="方正小标宋简体" w:cs="Times New Roman"/>
          <w:sz w:val="44"/>
          <w:szCs w:val="44"/>
        </w:rPr>
        <w:t>关于</w:t>
      </w:r>
      <w:r>
        <w:rPr>
          <w:rFonts w:hint="default" w:ascii="Times New Roman" w:hAnsi="Times New Roman" w:eastAsia="方正小标宋简体" w:cs="Times New Roman"/>
          <w:sz w:val="44"/>
          <w:szCs w:val="44"/>
          <w:lang w:val="en-US" w:eastAsia="zh-CN"/>
        </w:rPr>
        <w:t>对</w:t>
      </w:r>
      <w:r>
        <w:rPr>
          <w:rFonts w:hint="default" w:ascii="Times New Roman" w:hAnsi="Times New Roman" w:eastAsia="方正小标宋简体" w:cs="Times New Roman"/>
          <w:sz w:val="44"/>
          <w:szCs w:val="44"/>
          <w:lang w:val="en-US" w:eastAsia="zh-CN"/>
        </w:rPr>
        <w:t>“市水利部门作为</w:t>
      </w:r>
    </w:p>
    <w:p w14:paraId="2BEB3F7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地下水超采治理任务的牵头部门 工作指导</w:t>
      </w:r>
    </w:p>
    <w:p w14:paraId="071E013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不够 盯办不力 超采治理任务反弹”</w:t>
      </w:r>
    </w:p>
    <w:p w14:paraId="4E4E0FA1">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default" w:ascii="Times New Roman" w:hAnsi="Times New Roman" w:eastAsia="方正小标宋简体" w:cs="Times New Roman"/>
          <w:sz w:val="32"/>
          <w:szCs w:val="32"/>
        </w:rPr>
      </w:pPr>
      <w:r>
        <w:rPr>
          <w:rFonts w:hint="default" w:ascii="Times New Roman" w:hAnsi="Times New Roman" w:eastAsia="方正小标宋简体" w:cs="Times New Roman"/>
          <w:sz w:val="44"/>
          <w:szCs w:val="44"/>
        </w:rPr>
        <w:t>整改任务的自评报告</w:t>
      </w:r>
    </w:p>
    <w:p w14:paraId="4FDD7DF0">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32"/>
          <w:szCs w:val="32"/>
        </w:rPr>
      </w:pPr>
    </w:p>
    <w:p w14:paraId="6CC7D7F1">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按照自治区黄河流域生态环境警示片反馈整改任务销号工作</w:t>
      </w:r>
      <w:r>
        <w:rPr>
          <w:rFonts w:hint="default"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rPr>
        <w:t>要求，市</w:t>
      </w:r>
      <w:r>
        <w:rPr>
          <w:rFonts w:hint="default" w:ascii="Times New Roman" w:hAnsi="Times New Roman" w:eastAsia="仿宋_GB2312" w:cs="Times New Roman"/>
          <w:sz w:val="32"/>
          <w:szCs w:val="32"/>
          <w:lang w:val="en-US" w:eastAsia="zh-CN"/>
        </w:rPr>
        <w:t>水利局</w:t>
      </w:r>
      <w:r>
        <w:rPr>
          <w:rFonts w:hint="default" w:ascii="Times New Roman" w:hAnsi="Times New Roman" w:eastAsia="仿宋_GB2312" w:cs="Times New Roman"/>
          <w:sz w:val="32"/>
          <w:szCs w:val="32"/>
          <w:lang w:val="en-US" w:eastAsia="zh-CN"/>
        </w:rPr>
        <w:t>组织相关部门</w:t>
      </w:r>
      <w:r>
        <w:rPr>
          <w:rFonts w:hint="default" w:ascii="Times New Roman" w:hAnsi="Times New Roman" w:eastAsia="仿宋_GB2312" w:cs="Times New Roman"/>
          <w:sz w:val="32"/>
          <w:szCs w:val="32"/>
        </w:rPr>
        <w:t>完成了</w:t>
      </w:r>
      <w:r>
        <w:rPr>
          <w:rFonts w:hint="default" w:ascii="Times New Roman" w:hAnsi="Times New Roman" w:eastAsia="仿宋_GB2312" w:cs="Times New Roman"/>
          <w:sz w:val="32"/>
          <w:szCs w:val="32"/>
          <w:lang w:val="en-US" w:eastAsia="zh-CN"/>
        </w:rPr>
        <w:t>“市水利部门作为地下水超采治理任务的牵头部门，工作指导不够，盯办不力，超采治理任务反弹。2020年乌拉特前旗和乌拉特中旗两个超采区完成第一轮中央生态环境保护督察整改阶段任务后，2021年两个超采区连续4个季度出现水位下降，2022年被第二轮中央生态环境保护督察再次指出。2022年第三季度至2023年第二季度地下水水位连续下降且平均水位同比降幅均超过0.5米，其中乌拉特前旗超采区2023年第二季度两眼控制井水位分别低于控制水位5.2米和5.16米”</w:t>
      </w:r>
      <w:r>
        <w:rPr>
          <w:rFonts w:hint="default" w:ascii="Times New Roman" w:hAnsi="Times New Roman" w:eastAsia="仿宋_GB2312" w:cs="Times New Roman"/>
          <w:sz w:val="32"/>
          <w:szCs w:val="32"/>
          <w:lang w:val="en-US" w:eastAsia="zh-CN"/>
        </w:rPr>
        <w:t>问题的整改工作，</w:t>
      </w:r>
      <w:r>
        <w:rPr>
          <w:rFonts w:hint="default" w:ascii="Times New Roman" w:hAnsi="Times New Roman" w:eastAsia="仿宋_GB2312" w:cs="Times New Roman"/>
          <w:sz w:val="32"/>
          <w:szCs w:val="32"/>
          <w:lang w:val="en-US" w:eastAsia="zh-CN"/>
        </w:rPr>
        <w:t>整改方案中</w:t>
      </w:r>
      <w:r>
        <w:rPr>
          <w:rFonts w:hint="default" w:ascii="Times New Roman" w:hAnsi="Times New Roman" w:eastAsia="仿宋_GB2312" w:cs="Times New Roman"/>
          <w:sz w:val="32"/>
          <w:szCs w:val="32"/>
          <w:lang w:val="en-US" w:eastAsia="zh-CN"/>
        </w:rPr>
        <w:t>相关整改措施</w:t>
      </w:r>
      <w:r>
        <w:rPr>
          <w:rFonts w:hint="default" w:ascii="Times New Roman" w:hAnsi="Times New Roman" w:eastAsia="仿宋_GB2312" w:cs="Times New Roman"/>
          <w:sz w:val="32"/>
          <w:szCs w:val="32"/>
          <w:lang w:val="en-US" w:eastAsia="zh-CN"/>
        </w:rPr>
        <w:t>已</w:t>
      </w:r>
      <w:r>
        <w:rPr>
          <w:rFonts w:hint="default" w:ascii="Times New Roman" w:hAnsi="Times New Roman" w:eastAsia="仿宋_GB2312" w:cs="Times New Roman"/>
          <w:sz w:val="32"/>
          <w:szCs w:val="32"/>
        </w:rPr>
        <w:t>全部完成，达到整改目标要求，现申请履行销号程序。</w:t>
      </w:r>
    </w:p>
    <w:p w14:paraId="487A0770">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一、整改措施落实情况</w:t>
      </w:r>
    </w:p>
    <w:p w14:paraId="11C193A5">
      <w:pPr>
        <w:keepNext w:val="0"/>
        <w:keepLines w:val="0"/>
        <w:pageBreakBefore w:val="0"/>
        <w:widowControl/>
        <w:kinsoku w:val="0"/>
        <w:wordWrap/>
        <w:overflowPunct/>
        <w:topLinePunct w:val="0"/>
        <w:autoSpaceDE w:val="0"/>
        <w:autoSpaceDN w:val="0"/>
        <w:bidi w:val="0"/>
        <w:adjustRightInd w:val="0"/>
        <w:snapToGrid w:val="0"/>
        <w:spacing w:line="560" w:lineRule="exact"/>
        <w:ind w:firstLine="643" w:firstLineChars="200"/>
        <w:textAlignment w:val="baseline"/>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（一）在“</w:t>
      </w:r>
      <w:r>
        <w:rPr>
          <w:rFonts w:hint="default" w:ascii="Times New Roman" w:hAnsi="Times New Roman" w:eastAsia="楷体_GB2312" w:cs="Times New Roman"/>
          <w:b/>
          <w:bCs/>
          <w:sz w:val="32"/>
          <w:szCs w:val="32"/>
          <w:lang w:val="en-US" w:eastAsia="zh-CN"/>
        </w:rPr>
        <w:t xml:space="preserve"> 2024年7月底前，市水利局组织指导乌拉特前旗和乌拉特中旗，按照批复超采区治理巩固提升方案，细化分解年度治理任务。2024年12月底前和2025年12月底前，分别对相关地区开展年度任务复核工作，确保各项任务落实到位</w:t>
      </w:r>
      <w:r>
        <w:rPr>
          <w:rFonts w:hint="default" w:ascii="Times New Roman" w:hAnsi="Times New Roman" w:eastAsia="楷体_GB2312" w:cs="Times New Roman"/>
          <w:b/>
          <w:bCs/>
          <w:sz w:val="32"/>
          <w:szCs w:val="32"/>
          <w:lang w:val="en-US" w:eastAsia="zh-CN"/>
        </w:rPr>
        <w:t>”措施方面</w:t>
      </w:r>
    </w:p>
    <w:p w14:paraId="7B9F7D6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center"/>
        <w:rPr>
          <w:rFonts w:hint="default" w:ascii="Times New Roman" w:hAnsi="Times New Roman" w:eastAsia="楷体_GB2312" w:cs="Times New Roman"/>
          <w:b/>
          <w:bCs/>
          <w:snapToGrid w:val="0"/>
          <w:color w:val="000000"/>
          <w:kern w:val="0"/>
          <w:sz w:val="32"/>
          <w:szCs w:val="32"/>
          <w:lang w:val="en-US" w:eastAsia="zh-CN" w:bidi="ar-SA"/>
        </w:rPr>
      </w:pPr>
      <w:r>
        <w:rPr>
          <w:rFonts w:hint="default" w:ascii="Times New Roman" w:hAnsi="Times New Roman" w:eastAsia="仿宋_GB2312" w:cs="Times New Roman"/>
          <w:color w:val="auto"/>
          <w:sz w:val="32"/>
          <w:szCs w:val="32"/>
          <w:highlight w:val="none"/>
          <w:u w:val="none"/>
          <w:lang w:val="en-US" w:eastAsia="zh-CN"/>
        </w:rPr>
        <w:t>乌拉特前旗、乌拉特中旗</w:t>
      </w:r>
      <w:r>
        <w:rPr>
          <w:rFonts w:hint="default" w:ascii="Times New Roman" w:hAnsi="Times New Roman" w:eastAsia="仿宋_GB2312" w:cs="Times New Roman"/>
          <w:color w:val="auto"/>
          <w:sz w:val="32"/>
          <w:szCs w:val="32"/>
          <w:highlight w:val="none"/>
          <w:u w:val="none"/>
          <w:lang w:val="en-US" w:eastAsia="zh-CN"/>
        </w:rPr>
        <w:t>2022年12月</w:t>
      </w:r>
      <w:r>
        <w:rPr>
          <w:rFonts w:hint="default" w:ascii="Times New Roman" w:hAnsi="Times New Roman" w:eastAsia="仿宋_GB2312" w:cs="Times New Roman"/>
          <w:color w:val="auto"/>
          <w:sz w:val="32"/>
          <w:szCs w:val="32"/>
          <w:highlight w:val="none"/>
          <w:u w:val="none"/>
          <w:lang w:val="en-US" w:eastAsia="zh-CN"/>
        </w:rPr>
        <w:t>研究制定了“一区一策”综合治理方案，并由市政府批复实施，明确了年度工作措施。</w:t>
      </w:r>
      <w:r>
        <w:rPr>
          <w:rFonts w:hint="default" w:ascii="Times New Roman" w:hAnsi="Times New Roman" w:eastAsia="仿宋_GB2312" w:cs="Times New Roman"/>
          <w:color w:val="auto"/>
          <w:sz w:val="32"/>
          <w:szCs w:val="32"/>
          <w:highlight w:val="none"/>
          <w:u w:val="none"/>
          <w:lang w:val="en-US" w:eastAsia="zh-CN"/>
        </w:rPr>
        <w:t>在推进过程中，发现乌拉特前旗原方案基础数据不够准确，为更加符合实际，强化超采区治理效果，2025年</w:t>
      </w:r>
      <w:r>
        <w:rPr>
          <w:rFonts w:hint="default" w:ascii="Times New Roman" w:hAnsi="Times New Roman" w:eastAsia="仿宋_GB2312" w:cs="Times New Roman"/>
          <w:color w:val="auto"/>
          <w:sz w:val="32"/>
          <w:szCs w:val="32"/>
          <w:highlight w:val="none"/>
          <w:u w:val="none"/>
          <w:lang w:val="en-US" w:eastAsia="zh-CN"/>
        </w:rPr>
        <w:t>市水利局组织乌拉特前旗重新修编了综合治理方案，编制完成《乌拉特前旗大型孔隙浅层地下水超采区综合治理巩固方案（修编）（2025年）》并由市政府印发实施。乌拉特前旗已完成超采区压减地下水灌溉面积2.4万亩，压减灌溉水量6251万立方米的任务，已完成超采区任务复核工作；2024年度乌拉特中旗超采区任务复核工作已完成。</w:t>
      </w:r>
    </w:p>
    <w:p w14:paraId="3F2722E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643" w:firstLineChars="200"/>
        <w:jc w:val="both"/>
        <w:textAlignment w:val="baseline"/>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napToGrid w:val="0"/>
          <w:color w:val="000000"/>
          <w:kern w:val="0"/>
          <w:sz w:val="32"/>
          <w:szCs w:val="32"/>
          <w:lang w:val="en-US" w:eastAsia="zh-CN" w:bidi="ar-SA"/>
        </w:rPr>
        <w:t>（二）</w:t>
      </w:r>
      <w:r>
        <w:rPr>
          <w:rFonts w:hint="default" w:ascii="Times New Roman" w:hAnsi="Times New Roman" w:eastAsia="楷体_GB2312" w:cs="Times New Roman"/>
          <w:b/>
          <w:bCs/>
          <w:sz w:val="32"/>
          <w:szCs w:val="32"/>
          <w:lang w:val="en-US" w:eastAsia="zh-CN"/>
        </w:rPr>
        <w:t>在“2024年7月底前，相关地区健全完善旗、苏木乡镇、嘎查村、机电井管理人员责任体系，加强农灌井机电井水电双控设备运行维护，严格落实超采区地下水总量控制、定额管理”措施方面</w:t>
      </w:r>
    </w:p>
    <w:p w14:paraId="26D502D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center"/>
        <w:rPr>
          <w:rFonts w:hint="default" w:ascii="Times New Roman" w:hAnsi="Times New Roman" w:eastAsia="楷体_GB2312" w:cs="Times New Roman"/>
          <w:b/>
          <w:bCs/>
          <w:snapToGrid w:val="0"/>
          <w:color w:val="000000"/>
          <w:kern w:val="0"/>
          <w:sz w:val="32"/>
          <w:szCs w:val="32"/>
          <w:lang w:val="en-US" w:eastAsia="zh-CN" w:bidi="ar-SA"/>
        </w:rPr>
      </w:pPr>
      <w:r>
        <w:rPr>
          <w:rFonts w:hint="default" w:ascii="Times New Roman" w:hAnsi="Times New Roman" w:eastAsia="仿宋_GB2312" w:cs="Times New Roman"/>
          <w:color w:val="auto"/>
          <w:sz w:val="32"/>
          <w:szCs w:val="32"/>
          <w:highlight w:val="none"/>
          <w:u w:val="none"/>
          <w:lang w:val="en-US" w:eastAsia="zh-CN"/>
        </w:rPr>
        <w:t>乌拉特前旗、乌拉特中旗制定并印发农业灌溉机电井四级管理工作方案，</w:t>
      </w:r>
      <w:r>
        <w:rPr>
          <w:rFonts w:hint="default" w:ascii="Times New Roman" w:hAnsi="Times New Roman" w:eastAsia="仿宋_GB2312" w:cs="Times New Roman"/>
          <w:color w:val="auto"/>
          <w:sz w:val="32"/>
          <w:szCs w:val="32"/>
          <w:highlight w:val="none"/>
          <w:u w:val="none"/>
          <w:lang w:val="en-US" w:eastAsia="zh-CN"/>
        </w:rPr>
        <w:t>健全完善了旗、苏木乡镇、嘎查村的机电井管理人员责任体系，明确各级井长的具体职能职责，逐级签订责任状，严格落实机电井管理责任，实现超采区机电井管理全覆盖。相关地区具备安装条件的农业机电井已全部安装智能计量设施，实行了总量控制、限额管理。</w:t>
      </w:r>
    </w:p>
    <w:p w14:paraId="1BE77AE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643" w:firstLineChars="200"/>
        <w:jc w:val="both"/>
        <w:textAlignment w:val="baseline"/>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napToGrid w:val="0"/>
          <w:color w:val="000000"/>
          <w:kern w:val="0"/>
          <w:sz w:val="32"/>
          <w:szCs w:val="32"/>
          <w:lang w:val="en-US" w:eastAsia="zh-CN" w:bidi="ar-SA"/>
        </w:rPr>
        <w:t>（三）</w:t>
      </w:r>
      <w:r>
        <w:rPr>
          <w:rFonts w:hint="default" w:ascii="Times New Roman" w:hAnsi="Times New Roman" w:eastAsia="楷体_GB2312" w:cs="Times New Roman"/>
          <w:b/>
          <w:bCs/>
          <w:sz w:val="32"/>
          <w:szCs w:val="32"/>
          <w:lang w:val="en-US" w:eastAsia="zh-CN"/>
        </w:rPr>
        <w:t>在“加强取用水监督管理，严格超采区新增地下用水项目审批管理。乌拉特中旗：2024年12月底前实现采补平衡。一是2024年7月底前，调减高耗水种植面积3万亩。二是2024年9月底前，完成乌拉特中旗超采区库灌区滴灌项目2万亩。乌拉特前旗：2025年12月底前实现采补平衡。一是2025年12月底前，将部分矿山企业及沙德格工业聚集区地下水源置换为污水处理厂中水和地表水。二是引导农民合理调整种植结构，到2025年，低耗水作物种植面积达到8万亩”措施方面</w:t>
      </w:r>
    </w:p>
    <w:p w14:paraId="72C43E8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center"/>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乌拉特前旗、乌拉特中旗超采区已暂停地下水新增取水许可。</w:t>
      </w:r>
    </w:p>
    <w:p w14:paraId="245C28C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center"/>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乌拉特中旗：</w:t>
      </w:r>
    </w:p>
    <w:p w14:paraId="0CD8F49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center"/>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1.2024年调整种植结构6.5万亩，种植谷子、向日葵、大豆、马铃薯等低耗水作物，2025年完成0.6万亩低耗水作物种植。</w:t>
      </w:r>
    </w:p>
    <w:p w14:paraId="1E2960AB">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center"/>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2.完成了1.2万亩复黄滴灌项目、2万亩库灌区水源置换工程</w:t>
      </w:r>
      <w:r>
        <w:rPr>
          <w:rFonts w:hint="default" w:ascii="Times New Roman" w:hAnsi="Times New Roman" w:eastAsia="楷体_GB2312" w:cs="Times New Roman"/>
          <w:b/>
          <w:bCs/>
          <w:color w:val="auto"/>
          <w:sz w:val="28"/>
          <w:szCs w:val="28"/>
          <w:highlight w:val="none"/>
          <w:u w:val="none"/>
          <w:lang w:val="en-US" w:eastAsia="zh-CN"/>
        </w:rPr>
        <w:t>（四义堂村和大圣村核心区域内）</w:t>
      </w:r>
      <w:r>
        <w:rPr>
          <w:rFonts w:hint="default" w:ascii="Times New Roman" w:hAnsi="Times New Roman" w:eastAsia="仿宋_GB2312" w:cs="Times New Roman"/>
          <w:color w:val="auto"/>
          <w:sz w:val="32"/>
          <w:szCs w:val="32"/>
          <w:highlight w:val="none"/>
          <w:u w:val="none"/>
          <w:lang w:val="en-US" w:eastAsia="zh-CN"/>
        </w:rPr>
        <w:t>。</w:t>
      </w:r>
    </w:p>
    <w:p w14:paraId="680EC62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center"/>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3.2024年二季度起</w:t>
      </w:r>
      <w:r>
        <w:rPr>
          <w:rFonts w:hint="default" w:ascii="Times New Roman" w:hAnsi="Times New Roman" w:eastAsia="仿宋_GB2312" w:cs="Times New Roman"/>
          <w:color w:val="auto"/>
          <w:sz w:val="32"/>
          <w:szCs w:val="32"/>
          <w:highlight w:val="none"/>
          <w:u w:val="none"/>
          <w:lang w:val="en-US" w:eastAsia="zh-CN"/>
        </w:rPr>
        <w:t>至2025年三季度</w:t>
      </w:r>
      <w:r>
        <w:rPr>
          <w:rFonts w:hint="default" w:ascii="Times New Roman" w:hAnsi="Times New Roman" w:eastAsia="仿宋_GB2312" w:cs="Times New Roman"/>
          <w:color w:val="auto"/>
          <w:sz w:val="32"/>
          <w:szCs w:val="32"/>
          <w:highlight w:val="none"/>
          <w:u w:val="none"/>
          <w:lang w:val="en-US" w:eastAsia="zh-CN"/>
        </w:rPr>
        <w:t>乌拉特中旗超采区连续6个季度水位呈稳定回升趋势。</w:t>
      </w:r>
    </w:p>
    <w:p w14:paraId="7AEF99B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center"/>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乌拉特前旗：</w:t>
      </w:r>
    </w:p>
    <w:p w14:paraId="5AD7B8DA">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center"/>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1.水源置换工程主体工程已基本完工，进行了分部验收并开始供水</w:t>
      </w:r>
      <w:r>
        <w:rPr>
          <w:rFonts w:hint="default" w:ascii="Times New Roman" w:hAnsi="Times New Roman" w:eastAsia="楷体_GB2312" w:cs="Times New Roman"/>
          <w:b/>
          <w:bCs/>
          <w:color w:val="auto"/>
          <w:sz w:val="28"/>
          <w:szCs w:val="28"/>
          <w:highlight w:val="none"/>
          <w:u w:val="none"/>
          <w:lang w:val="en-US" w:eastAsia="zh-CN"/>
        </w:rPr>
        <w:t>（目前到沙德格工业聚集区北线输水管道已贯通，南线部分工矿企业完成排干水水资源论证工作，企业复工复产后水资源置换为排干水）</w:t>
      </w:r>
      <w:r>
        <w:rPr>
          <w:rFonts w:hint="default" w:ascii="Times New Roman" w:hAnsi="Times New Roman" w:eastAsia="仿宋_GB2312" w:cs="Times New Roman"/>
          <w:color w:val="auto"/>
          <w:sz w:val="32"/>
          <w:szCs w:val="32"/>
          <w:highlight w:val="none"/>
          <w:u w:val="none"/>
          <w:lang w:val="en-US" w:eastAsia="zh-CN"/>
        </w:rPr>
        <w:t>。</w:t>
      </w:r>
    </w:p>
    <w:p w14:paraId="0342B438">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center"/>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2.2025年超采区内完成种植结构调整30万亩，2025年实施耕地水改旱2.7万亩，违规违法林草整治退耕0.1万亩，实施非充分灌溉17.32万亩。</w:t>
      </w:r>
    </w:p>
    <w:p w14:paraId="037C65A7">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center"/>
        <w:rPr>
          <w:rFonts w:hint="default" w:ascii="Times New Roman" w:hAnsi="Times New Roman" w:eastAsia="黑体" w:cs="Times New Roman"/>
          <w:sz w:val="32"/>
          <w:szCs w:val="32"/>
        </w:rPr>
      </w:pPr>
      <w:r>
        <w:rPr>
          <w:rFonts w:hint="default" w:ascii="Times New Roman" w:hAnsi="Times New Roman" w:eastAsia="仿宋_GB2312" w:cs="Times New Roman"/>
          <w:color w:val="auto"/>
          <w:sz w:val="32"/>
          <w:szCs w:val="32"/>
          <w:highlight w:val="none"/>
          <w:u w:val="none"/>
          <w:lang w:val="en-US" w:eastAsia="zh-CN"/>
        </w:rPr>
        <w:t>3.2024年三季度起</w:t>
      </w:r>
      <w:r>
        <w:rPr>
          <w:rFonts w:hint="default" w:ascii="Times New Roman" w:hAnsi="Times New Roman" w:eastAsia="仿宋_GB2312" w:cs="Times New Roman"/>
          <w:color w:val="auto"/>
          <w:sz w:val="32"/>
          <w:szCs w:val="32"/>
          <w:highlight w:val="none"/>
          <w:u w:val="none"/>
          <w:lang w:val="en-US" w:eastAsia="zh-CN"/>
        </w:rPr>
        <w:t>至2025年三季度</w:t>
      </w:r>
      <w:r>
        <w:rPr>
          <w:rFonts w:hint="default" w:ascii="Times New Roman" w:hAnsi="Times New Roman" w:eastAsia="仿宋_GB2312" w:cs="Times New Roman"/>
          <w:color w:val="auto"/>
          <w:sz w:val="32"/>
          <w:szCs w:val="32"/>
          <w:highlight w:val="none"/>
          <w:u w:val="none"/>
          <w:lang w:val="en-US" w:eastAsia="zh-CN"/>
        </w:rPr>
        <w:t>乌拉特前旗超采区连续5个季度水位呈稳定回升趋势。</w:t>
      </w:r>
    </w:p>
    <w:p w14:paraId="5E433A71">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二、整改目标完成情况</w:t>
      </w:r>
    </w:p>
    <w:p w14:paraId="6E95B78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《整改方案》要求</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乌拉特前旗、乌拉特中旗地下水超采区实现采补平衡”，乌拉特前旗、中旗已按照批复超采区治理巩固提升方案落实各项措施，</w:t>
      </w:r>
      <w:r>
        <w:rPr>
          <w:rFonts w:hint="default" w:ascii="Times New Roman" w:hAnsi="Times New Roman" w:eastAsia="仿宋_GB2312" w:cs="Times New Roman"/>
          <w:b w:val="0"/>
          <w:bCs w:val="0"/>
          <w:snapToGrid w:val="0"/>
          <w:color w:val="000000"/>
          <w:kern w:val="0"/>
          <w:sz w:val="32"/>
          <w:szCs w:val="32"/>
          <w:lang w:val="en-US" w:eastAsia="zh-CN" w:bidi="ar-SA"/>
        </w:rPr>
        <w:t>并完成超采区治理效果评估</w:t>
      </w:r>
      <w:r>
        <w:rPr>
          <w:rFonts w:hint="default" w:ascii="Times New Roman" w:hAnsi="Times New Roman" w:eastAsia="楷体_GB2312" w:cs="Times New Roman"/>
          <w:b/>
          <w:bCs/>
          <w:color w:val="auto"/>
          <w:sz w:val="28"/>
          <w:szCs w:val="28"/>
          <w:highlight w:val="none"/>
          <w:u w:val="none"/>
          <w:lang w:val="en-US" w:eastAsia="zh-CN"/>
        </w:rPr>
        <w:t>（附件）</w:t>
      </w:r>
      <w:r>
        <w:rPr>
          <w:rFonts w:hint="default" w:ascii="Times New Roman" w:hAnsi="Times New Roman" w:eastAsia="仿宋_GB2312" w:cs="Times New Roman"/>
          <w:b w:val="0"/>
          <w:bCs w:val="0"/>
          <w:snapToGrid w:val="0"/>
          <w:color w:val="000000"/>
          <w:kern w:val="0"/>
          <w:sz w:val="32"/>
          <w:szCs w:val="32"/>
          <w:lang w:val="en-US" w:eastAsia="zh-CN" w:bidi="ar-SA"/>
        </w:rPr>
        <w:t>；乌拉特前旗</w:t>
      </w:r>
      <w:r>
        <w:rPr>
          <w:rFonts w:hint="default" w:ascii="Times New Roman" w:hAnsi="Times New Roman" w:eastAsia="仿宋_GB2312" w:cs="Times New Roman"/>
          <w:color w:val="auto"/>
          <w:sz w:val="32"/>
          <w:szCs w:val="32"/>
          <w:highlight w:val="none"/>
          <w:u w:val="none"/>
          <w:lang w:val="en-US" w:eastAsia="zh-CN"/>
        </w:rPr>
        <w:t>超采区连续5个季度水位呈稳定回升趋势</w:t>
      </w:r>
      <w:r>
        <w:rPr>
          <w:rFonts w:hint="default" w:ascii="Times New Roman" w:hAnsi="Times New Roman" w:eastAsia="仿宋_GB2312" w:cs="Times New Roman"/>
          <w:color w:val="auto"/>
          <w:sz w:val="32"/>
          <w:szCs w:val="32"/>
          <w:highlight w:val="none"/>
          <w:u w:val="none"/>
          <w:lang w:val="en-US" w:eastAsia="zh-CN"/>
        </w:rPr>
        <w:t>，乌拉特中旗超采区</w:t>
      </w:r>
      <w:r>
        <w:rPr>
          <w:rFonts w:hint="default" w:ascii="Times New Roman" w:hAnsi="Times New Roman" w:eastAsia="仿宋_GB2312" w:cs="Times New Roman"/>
          <w:color w:val="auto"/>
          <w:sz w:val="32"/>
          <w:szCs w:val="32"/>
          <w:highlight w:val="none"/>
          <w:u w:val="none"/>
          <w:lang w:val="en-US" w:eastAsia="zh-CN"/>
        </w:rPr>
        <w:t>连续6个季度水位呈稳定回升趋势</w:t>
      </w:r>
      <w:r>
        <w:rPr>
          <w:rFonts w:hint="default" w:ascii="Times New Roman" w:hAnsi="Times New Roman" w:eastAsia="仿宋_GB2312" w:cs="Times New Roman"/>
          <w:b w:val="0"/>
          <w:bCs w:val="0"/>
          <w:snapToGrid w:val="0"/>
          <w:color w:val="000000"/>
          <w:kern w:val="0"/>
          <w:sz w:val="32"/>
          <w:szCs w:val="32"/>
          <w:lang w:val="en-US" w:eastAsia="zh-CN" w:bidi="ar-SA"/>
        </w:rPr>
        <w:t>。已达到整改要求。</w:t>
      </w:r>
    </w:p>
    <w:p w14:paraId="66E53412">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三、相关制度机制建设情况</w:t>
      </w:r>
    </w:p>
    <w:p w14:paraId="0538311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仿宋_GB2312" w:cs="Times New Roman"/>
          <w:b w:val="0"/>
          <w:bCs w:val="0"/>
          <w:snapToGrid w:val="0"/>
          <w:color w:val="000000"/>
          <w:kern w:val="0"/>
          <w:sz w:val="32"/>
          <w:szCs w:val="32"/>
          <w:lang w:val="en-US" w:eastAsia="zh-CN" w:bidi="ar-SA"/>
        </w:rPr>
      </w:pPr>
      <w:r>
        <w:rPr>
          <w:rFonts w:hint="default" w:ascii="Times New Roman" w:hAnsi="Times New Roman" w:eastAsia="仿宋_GB2312" w:cs="Times New Roman"/>
          <w:sz w:val="32"/>
          <w:szCs w:val="32"/>
        </w:rPr>
        <w:t>为</w:t>
      </w:r>
      <w:r>
        <w:rPr>
          <w:rFonts w:hint="default" w:ascii="Times New Roman" w:hAnsi="Times New Roman" w:eastAsia="仿宋_GB2312" w:cs="Times New Roman"/>
          <w:sz w:val="32"/>
          <w:szCs w:val="32"/>
          <w:lang w:val="en-US" w:eastAsia="zh-CN"/>
        </w:rPr>
        <w:t>落实“整改一个问题、规范一个领域”的工作要求，</w:t>
      </w:r>
      <w:r>
        <w:rPr>
          <w:rFonts w:hint="default" w:ascii="Times New Roman" w:hAnsi="Times New Roman" w:eastAsia="仿宋_GB2312" w:cs="Times New Roman"/>
          <w:sz w:val="32"/>
          <w:szCs w:val="32"/>
          <w:lang w:val="en-US" w:eastAsia="zh-CN"/>
        </w:rPr>
        <w:t>乌拉特前旗、乌拉特中旗制定了农业灌溉机电井四级管理工作实施方案，</w:t>
      </w:r>
      <w:r>
        <w:rPr>
          <w:rFonts w:hint="default" w:ascii="Times New Roman" w:hAnsi="Times New Roman" w:eastAsia="仿宋_GB2312" w:cs="Times New Roman"/>
          <w:b w:val="0"/>
          <w:bCs w:val="0"/>
          <w:snapToGrid w:val="0"/>
          <w:color w:val="000000"/>
          <w:kern w:val="0"/>
          <w:sz w:val="32"/>
          <w:szCs w:val="32"/>
          <w:lang w:val="en-US" w:eastAsia="zh-CN" w:bidi="ar-SA"/>
        </w:rPr>
        <w:t>全面推行“四级井长”制度，明确各级井长责任分工、强化监督管理和提升运行效率，保障农业灌溉用水科学调度和高效利用，提高水资源管理的精准度，为地下水超采治理和农业灌溉精细化管理提供有力的制度和技术支撑；为加强取用水监督管理工作，定期开展“双随机、一公开”监督检查，不断规范企业用水行为，对违法违规取用地下水、破坏计量设施等行为进行严厉打击。</w:t>
      </w:r>
    </w:p>
    <w:p w14:paraId="7D3A2D1E">
      <w:pPr>
        <w:pStyle w:val="3"/>
        <w:keepNext w:val="0"/>
        <w:keepLines w:val="0"/>
        <w:pageBreakBefore w:val="0"/>
        <w:widowControl/>
        <w:suppressLineNumbers w:val="0"/>
        <w:wordWrap/>
        <w:overflowPunct/>
        <w:topLinePunct w:val="0"/>
        <w:bidi w:val="0"/>
        <w:spacing w:before="0" w:beforeAutospacing="0" w:after="0" w:afterAutospacing="0" w:line="560" w:lineRule="exact"/>
        <w:ind w:left="1918" w:leftChars="304" w:right="0" w:hanging="1280" w:hangingChars="400"/>
        <w:rPr>
          <w:rFonts w:hint="default" w:ascii="Times New Roman" w:hAnsi="Times New Roman" w:eastAsia="仿宋_GB2312" w:cs="Times New Roman"/>
          <w:b w:val="0"/>
          <w:bCs w:val="0"/>
          <w:snapToGrid w:val="0"/>
          <w:color w:val="000000"/>
          <w:kern w:val="0"/>
          <w:sz w:val="32"/>
          <w:szCs w:val="32"/>
          <w:lang w:val="en-US" w:eastAsia="zh-CN" w:bidi="ar-SA"/>
        </w:rPr>
      </w:pPr>
    </w:p>
    <w:p w14:paraId="346E7B51">
      <w:pPr>
        <w:keepNext w:val="0"/>
        <w:keepLines w:val="0"/>
        <w:pageBreakBefore w:val="0"/>
        <w:widowControl w:val="0"/>
        <w:kinsoku w:val="0"/>
        <w:wordWrap/>
        <w:overflowPunct/>
        <w:topLinePunct w:val="0"/>
        <w:autoSpaceDE w:val="0"/>
        <w:autoSpaceDN w:val="0"/>
        <w:bidi w:val="0"/>
        <w:adjustRightInd w:val="0"/>
        <w:snapToGrid w:val="0"/>
        <w:spacing w:afterAutospacing="0" w:line="560" w:lineRule="exact"/>
        <w:ind w:firstLine="4800" w:firstLineChars="1500"/>
        <w:jc w:val="both"/>
        <w:textAlignment w:val="baseline"/>
        <w:rPr>
          <w:rFonts w:hint="default" w:ascii="Times New Roman" w:hAnsi="Times New Roman" w:eastAsia="仿宋_GB2312" w:cs="Times New Roman"/>
          <w:kern w:val="2"/>
          <w:sz w:val="32"/>
          <w:szCs w:val="24"/>
          <w:lang w:val="en-US" w:eastAsia="zh-CN" w:bidi="ar-SA"/>
        </w:rPr>
      </w:pPr>
    </w:p>
    <w:p w14:paraId="553DA1E5">
      <w:pPr>
        <w:keepNext w:val="0"/>
        <w:keepLines w:val="0"/>
        <w:pageBreakBefore w:val="0"/>
        <w:widowControl w:val="0"/>
        <w:kinsoku w:val="0"/>
        <w:wordWrap/>
        <w:overflowPunct/>
        <w:topLinePunct w:val="0"/>
        <w:autoSpaceDE w:val="0"/>
        <w:autoSpaceDN w:val="0"/>
        <w:bidi w:val="0"/>
        <w:adjustRightInd w:val="0"/>
        <w:snapToGrid w:val="0"/>
        <w:spacing w:afterAutospacing="0" w:line="560" w:lineRule="exact"/>
        <w:ind w:left="420" w:leftChars="200" w:firstLine="420" w:firstLineChars="200"/>
        <w:jc w:val="center"/>
        <w:textAlignment w:val="baseline"/>
        <w:rPr>
          <w:rFonts w:hint="default" w:ascii="Times New Roman" w:hAnsi="Times New Roman" w:cs="Times New Roman"/>
        </w:rPr>
      </w:pPr>
    </w:p>
    <w:bookmarkEnd w:id="0"/>
    <w:sectPr>
      <w:footerReference r:id="rId5" w:type="default"/>
      <w:pgSz w:w="11900" w:h="16820"/>
      <w:pgMar w:top="2098" w:right="1417" w:bottom="1701" w:left="1531" w:header="0" w:footer="828" w:gutter="0"/>
      <w:pgNumType w:fmt="numberInDash"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Cambria">
    <w:altName w:val="DejaVu Math TeX Gyre"/>
    <w:panose1 w:val="02040503050406030204"/>
    <w:charset w:val="00"/>
    <w:family w:val="roman"/>
    <w:pitch w:val="default"/>
    <w:sig w:usb0="00000000" w:usb1="00000000" w:usb2="02000000" w:usb3="00000000" w:csb0="2000019F" w:csb1="00000000"/>
  </w:font>
  <w:font w:name="DejaVu Math TeX Gyre">
    <w:panose1 w:val="02000503000000000000"/>
    <w:charset w:val="00"/>
    <w:family w:val="auto"/>
    <w:pitch w:val="default"/>
    <w:sig w:usb0="A10000EF" w:usb1="4201F9EE" w:usb2="02000000" w:usb3="00000000" w:csb0="60000193" w:csb1="0DD4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516E4">
    <w:pPr>
      <w:spacing w:before="1" w:line="171" w:lineRule="auto"/>
      <w:ind w:left="4049"/>
      <w:rPr>
        <w:rFonts w:ascii="Times New Roman" w:hAnsi="Times New Roman" w:eastAsia="Times New Roman" w:cs="Times New Roman"/>
        <w:sz w:val="33"/>
        <w:szCs w:val="33"/>
      </w:rPr>
    </w:pPr>
    <w:r>
      <w:rPr>
        <w:sz w:val="33"/>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5DAAC8">
                          <w:pPr>
                            <w:pStyle w:val="2"/>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55DAAC8">
                    <w:pPr>
                      <w:pStyle w:val="2"/>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iZmFhZTg2NDFmYTNhZDY5ZjgwOWFjNTNlNmIwOGIifQ=="/>
  </w:docVars>
  <w:rsids>
    <w:rsidRoot w:val="54A66021"/>
    <w:rsid w:val="0E403232"/>
    <w:rsid w:val="16DF0E96"/>
    <w:rsid w:val="1E79070F"/>
    <w:rsid w:val="1EFE7A64"/>
    <w:rsid w:val="28954B6B"/>
    <w:rsid w:val="2E0B66F6"/>
    <w:rsid w:val="34AB4D68"/>
    <w:rsid w:val="3C241EA4"/>
    <w:rsid w:val="3F9B2D75"/>
    <w:rsid w:val="40110CC0"/>
    <w:rsid w:val="41006C51"/>
    <w:rsid w:val="4166401F"/>
    <w:rsid w:val="4AE04558"/>
    <w:rsid w:val="4C6140A0"/>
    <w:rsid w:val="54A66021"/>
    <w:rsid w:val="552F123F"/>
    <w:rsid w:val="5FB57A0D"/>
    <w:rsid w:val="60872AA9"/>
    <w:rsid w:val="66DF22D1"/>
    <w:rsid w:val="69344C1E"/>
    <w:rsid w:val="69EA0AAF"/>
    <w:rsid w:val="6BEC4DD2"/>
    <w:rsid w:val="6D522654"/>
    <w:rsid w:val="78012B3E"/>
    <w:rsid w:val="79295E21"/>
    <w:rsid w:val="792E5ADB"/>
    <w:rsid w:val="7BD429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4">
    <w:name w:val="Title"/>
    <w:basedOn w:val="1"/>
    <w:next w:val="1"/>
    <w:qFormat/>
    <w:uiPriority w:val="0"/>
    <w:pPr>
      <w:spacing w:before="240" w:after="60"/>
      <w:jc w:val="center"/>
      <w:outlineLvl w:val="0"/>
    </w:pPr>
    <w:rPr>
      <w:rFonts w:ascii="Cambria" w:hAnsi="Cambria"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f8a3a151-561c-4253-8015-c27dce3b170a</errorID>
      <errorWord>2</errorWord>
      <group>L1_Grammar</group>
      <groupName>语法问题</groupName>
      <ability>L2_Order</ability>
      <abilityName>语序不当</abilityName>
      <candidateList>
        <item>“2</item>
      </candidateList>
      <explain>句子可能没有遵循时空、逻辑顺序，或者介词、关联词等位置不当。</explain>
      <paraID>6CC7D7F1</paraID>
      <start>178</start>
      <end>179</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8f69eb-8781-4414-9ca6-65fe9f077b9b}">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1879</Words>
  <Characters>2007</Characters>
  <Lines>0</Lines>
  <Paragraphs>0</Paragraphs>
  <TotalTime>279</TotalTime>
  <ScaleCrop>false</ScaleCrop>
  <LinksUpToDate>false</LinksUpToDate>
  <CharactersWithSpaces>2011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2024-11-25T07:18:00Z</dcterms:created>
  <dc:creator>演示人</dc:creator>
  <cp:lastModifiedBy>浪漫daddy</cp:lastModifiedBy>
  <cp:lastPrinted>2025-12-15T07:26:00Z</cp:lastPrinted>
  <dcterms:modified xsi:type="dcterms:W3CDTF">2025-12-16T02:42:25Z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D7ED38B0D91A4B9C957EEBDA938AE53E_13</vt:lpwstr>
  </property>
  <property fmtid="{D5CDD505-2E9C-101B-9397-08002B2CF9AE}" pid="4" name="KSOTemplateDocerSaveRecord">
    <vt:lpwstr>eyJoZGlkIjoiY2VhOGYzZWNjNzRlODllMmVhZDA0OGM3MTA0N2NkNmIiLCJ1c2VySWQiOiI1OTEwMjY1MzgifQ==</vt:lpwstr>
  </property>
</Properties>
</file>