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000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附件</w:t>
      </w:r>
    </w:p>
    <w:p w14:paraId="2A0D621F">
      <w:pPr>
        <w:pStyle w:val="9"/>
        <w:rPr>
          <w:rFonts w:hint="eastAsia"/>
          <w:sz w:val="32"/>
          <w:szCs w:val="32"/>
        </w:rPr>
      </w:pPr>
    </w:p>
    <w:p w14:paraId="75900DEC">
      <w:pPr>
        <w:spacing w:line="600" w:lineRule="exact"/>
        <w:ind w:left="1760" w:hanging="1760" w:hangingChars="4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rPr>
        <w:t>中央生态环境保护督察</w:t>
      </w:r>
      <w:r>
        <w:rPr>
          <w:rFonts w:hint="eastAsia" w:ascii="方正小标宋简体" w:hAnsi="方正小标宋简体" w:eastAsia="方正小标宋简体" w:cs="方正小标宋简体"/>
          <w:sz w:val="44"/>
          <w:szCs w:val="44"/>
          <w:lang w:val="en-US" w:eastAsia="zh-CN"/>
        </w:rPr>
        <w:t>第33项</w:t>
      </w:r>
    </w:p>
    <w:p w14:paraId="4E189276">
      <w:pPr>
        <w:spacing w:line="600" w:lineRule="exact"/>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val="en-US" w:eastAsia="zh-CN"/>
        </w:rPr>
        <w:t>完成情况</w:t>
      </w:r>
      <w:r>
        <w:rPr>
          <w:rFonts w:hint="eastAsia" w:ascii="方正小标宋简体" w:hAnsi="方正小标宋简体" w:eastAsia="方正小标宋简体" w:cs="方正小标宋简体"/>
          <w:sz w:val="44"/>
          <w:szCs w:val="44"/>
        </w:rPr>
        <w:t>表</w:t>
      </w:r>
    </w:p>
    <w:p w14:paraId="08B873EC">
      <w:pPr>
        <w:pStyle w:val="9"/>
        <w:rPr>
          <w:rFonts w:hint="eastAsia"/>
        </w:rPr>
      </w:pPr>
    </w:p>
    <w:tbl>
      <w:tblPr>
        <w:tblStyle w:val="11"/>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7524"/>
      </w:tblGrid>
      <w:tr w14:paraId="5D21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497" w:type="dxa"/>
            <w:noWrap w:val="0"/>
            <w:vAlign w:val="center"/>
          </w:tcPr>
          <w:p w14:paraId="08B83E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整改任务</w:t>
            </w:r>
          </w:p>
        </w:tc>
        <w:tc>
          <w:tcPr>
            <w:tcW w:w="7403" w:type="dxa"/>
            <w:noWrap w:val="0"/>
            <w:vAlign w:val="center"/>
          </w:tcPr>
          <w:p w14:paraId="458032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第二轮中央生态环境保护督察第</w:t>
            </w: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项问题：2020年监测显示,黄河流域内蒙古区域水土流失面积6.7万平方公里, 十大孔兑等黄河泥沙主要来源区水土流失问题尤为突出。</w:t>
            </w:r>
          </w:p>
        </w:tc>
      </w:tr>
      <w:tr w14:paraId="6C1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7" w:type="dxa"/>
            <w:noWrap w:val="0"/>
            <w:vAlign w:val="top"/>
          </w:tcPr>
          <w:p w14:paraId="276E6B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责任单位</w:t>
            </w:r>
          </w:p>
        </w:tc>
        <w:tc>
          <w:tcPr>
            <w:tcW w:w="7403" w:type="dxa"/>
            <w:noWrap w:val="0"/>
            <w:vAlign w:val="center"/>
          </w:tcPr>
          <w:p w14:paraId="0087A8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自治区水利厅，沿黄各盟市党委和政府（行署）</w:t>
            </w:r>
          </w:p>
        </w:tc>
      </w:tr>
      <w:tr w14:paraId="48D9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97" w:type="dxa"/>
            <w:noWrap w:val="0"/>
            <w:vAlign w:val="center"/>
          </w:tcPr>
          <w:p w14:paraId="1C7DD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整改目标</w:t>
            </w:r>
          </w:p>
        </w:tc>
        <w:tc>
          <w:tcPr>
            <w:tcW w:w="7403" w:type="dxa"/>
            <w:noWrap w:val="0"/>
            <w:vAlign w:val="center"/>
          </w:tcPr>
          <w:p w14:paraId="44DB75E0">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firstLine="63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全面加强黄河流域水土流失治理，水土流失面积和强度双下降，2025年12月底黄河流域水土流失治理取得阶段性成效，十大孔兑水土保持率达到60%以上。</w:t>
            </w:r>
          </w:p>
        </w:tc>
      </w:tr>
      <w:tr w14:paraId="2796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497" w:type="dxa"/>
            <w:noWrap w:val="0"/>
            <w:vAlign w:val="center"/>
          </w:tcPr>
          <w:p w14:paraId="3417D7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整改措施</w:t>
            </w:r>
          </w:p>
        </w:tc>
        <w:tc>
          <w:tcPr>
            <w:tcW w:w="7403" w:type="dxa"/>
            <w:noWrap w:val="0"/>
            <w:vAlign w:val="center"/>
          </w:tcPr>
          <w:p w14:paraId="774104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1.自治区水利厅下达年度水土流失综合治理任务，联合相关部门实施年度考核。</w:t>
            </w:r>
          </w:p>
          <w:p w14:paraId="3CFA90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沿黄各盟市严格落实草畜平衡和禁牧休牧制度，完成自治区下达的年度水土流失综合治理任务，到2023年12月底前，累计新增水土流失综合治理面积3900平方公里。到2024年12月底前，新增水土流失综合治理5800平方公里。使黄河流域草原森林得到休养生息、合理利用和有效保护，提升草原森林生态系统水土保持能力。</w:t>
            </w:r>
          </w:p>
          <w:p w14:paraId="43FBAA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3.2022年8月底前，鄂尔多斯市编制完成十大孔兑综合治理方案并启动实施。2023年12月底前，水土保持率力争达到59%。2024年12月底前，水土保持率达到59.4%。2025年12月底前，十大孔兑水土流失状况得到持续治理和改善，水土保持率达到60%以上。</w:t>
            </w:r>
          </w:p>
        </w:tc>
      </w:tr>
      <w:tr w14:paraId="559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497" w:type="dxa"/>
            <w:noWrap w:val="0"/>
            <w:vAlign w:val="center"/>
          </w:tcPr>
          <w:p w14:paraId="089601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lang w:eastAsia="zh-CN"/>
              </w:rPr>
              <w:t>完成</w:t>
            </w:r>
            <w:r>
              <w:rPr>
                <w:rFonts w:hint="eastAsia" w:ascii="黑体" w:hAnsi="黑体" w:eastAsia="黑体" w:cs="黑体"/>
                <w:sz w:val="24"/>
                <w:szCs w:val="24"/>
              </w:rPr>
              <w:t>情况</w:t>
            </w:r>
          </w:p>
        </w:tc>
        <w:tc>
          <w:tcPr>
            <w:tcW w:w="7403" w:type="dxa"/>
            <w:noWrap w:val="0"/>
            <w:vAlign w:val="center"/>
          </w:tcPr>
          <w:p w14:paraId="1D1D4E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该整改任务的3项措施已全部完成整改，具体如下。</w:t>
            </w:r>
          </w:p>
          <w:p w14:paraId="7A4CCB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1完成</w:t>
            </w:r>
            <w:r>
              <w:rPr>
                <w:rFonts w:hint="eastAsia" w:ascii="仿宋_GB2312" w:hAnsi="仿宋_GB2312" w:eastAsia="仿宋_GB2312" w:cs="仿宋_GB2312"/>
                <w:b/>
                <w:bCs/>
                <w:sz w:val="28"/>
                <w:szCs w:val="28"/>
              </w:rPr>
              <w:t>情况：</w:t>
            </w:r>
          </w:p>
          <w:p w14:paraId="2C7944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格落实《内蒙古自治区水土保持规划2016-2030年》，每年初水利厅依据各部门年度生态治理任务，印发分盟市年度水土保持生态建设任务指导性指标。2022年至2024年累计下达我区黄河流域水土流失综合治理任务8854.43平方公里（其中2022年2926.59平方公里，2023年2941.34平方公里，2024年2986.5平方公里）。按照自治区印发的《内蒙古自治区水土保持目标责任考核办法》，在自治区人民政府领导下，由水利厅牵头，会同自治区发展改革委、财政厅、自然资源厅、生态环境厅、农牧厅、林草局开展2022年和2023年各盟市水土保持目标责任考核（2024年以后水利部落实为基层减负，取消本考核）。考核结果经自治区人民政府审核后以“一盟一单”形式反馈地方政府。</w:t>
            </w:r>
          </w:p>
          <w:p w14:paraId="061C4E6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2完成</w:t>
            </w:r>
            <w:r>
              <w:rPr>
                <w:rFonts w:hint="eastAsia" w:ascii="仿宋_GB2312" w:hAnsi="仿宋_GB2312" w:eastAsia="仿宋_GB2312" w:cs="仿宋_GB2312"/>
                <w:b/>
                <w:bCs/>
                <w:sz w:val="28"/>
                <w:szCs w:val="28"/>
              </w:rPr>
              <w:t>情况：</w:t>
            </w:r>
          </w:p>
          <w:p w14:paraId="05344312">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内蒙古黄河流域2022-2024年累计下达沿黄各盟市水土流失综合治理任务8854.43平方公里。截至2025年12月底，沿黄各盟市水利部门上报完成新增水土流失综合治理2163.90平方公里，经现场核查，水利部门实际完成新增水土流失综合治理1649.32平方公里，其中：到2023年底前完成新增水土流失综合治理955.8平方公里。到2024年底前完成新增水土流失综合治理1649.32平方公里。</w:t>
            </w:r>
          </w:p>
          <w:p w14:paraId="781071A0">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30日，自治区林草局回函：“第二轮中央生态环境保护督察第33项整改任务销号工作开展期间，我局全面审核盟市上报销号材料，核查林草项目申请、项目批复、施工计划、验收报告、矢量数据，对比2021-2024年度国土绿化落地上图数据库，现确认造林、种草等治理措施林草项目3585.57平方公里，库外其他林草项目4866.48平方公里。鉴于以上情况，我局同意销号。” 其中：到2023年底前完成新增水土流失综合治理3920.84平方公里。到2024年底前完成新增水土流失综合治理8452.05平方公里。</w:t>
            </w:r>
          </w:p>
          <w:p w14:paraId="330810DF">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31日，自治区农牧厅回函：“2024年沿黄流域涉及的巴彦淖尔市、鄂尔多斯市、呼和浩特市、乌兰察布市相关有任务旗县共实施耕地深松199.7537万亩。2025年沿黄流域涉及的巴彦淖尔市、鄂尔多斯市、包头市、呼和浩特市、乌兰察布市相关有任务旗县共实施耕地深松240.6355万亩。经研究，同意销号”。到2024年底前完成新增水土流失综合治理1331.69平方公里。</w:t>
            </w:r>
          </w:p>
          <w:p w14:paraId="51DD8920">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2025年12月9日，自治区自然资源厅回函：“涉及自然资源厅核查事项为乌海市海南区呼珠不沁希勒矿区生态修复和鄂尔多斯</w:t>
            </w:r>
            <w:r>
              <w:rPr>
                <w:rFonts w:hint="eastAsia" w:ascii="仿宋_GB2312" w:hAnsi="仿宋_GB2312" w:eastAsia="仿宋_GB2312" w:cs="仿宋_GB2312"/>
                <w:b w:val="0"/>
                <w:bCs w:val="0"/>
                <w:sz w:val="28"/>
                <w:szCs w:val="28"/>
                <w:lang w:val="en-US" w:eastAsia="zh-CN"/>
              </w:rPr>
              <w:t>市</w:t>
            </w:r>
            <w:r>
              <w:rPr>
                <w:rFonts w:hint="eastAsia" w:ascii="仿宋_GB2312" w:hAnsi="仿宋_GB2312" w:eastAsia="仿宋_GB2312" w:cs="仿宋_GB2312"/>
                <w:b w:val="0"/>
                <w:bCs w:val="0"/>
                <w:sz w:val="28"/>
                <w:szCs w:val="28"/>
              </w:rPr>
              <w:t>达拉特旗矿山地质环境治理。乌海市海南区呼珠不沁希勒矿区生态修复同为第二轮中央生态环境保护督察问题第7项，已完成整改并销号通过。鄂尔多斯</w:t>
            </w:r>
            <w:r>
              <w:rPr>
                <w:rFonts w:hint="eastAsia" w:ascii="仿宋_GB2312" w:hAnsi="仿宋_GB2312" w:eastAsia="仿宋_GB2312" w:cs="仿宋_GB2312"/>
                <w:b w:val="0"/>
                <w:bCs w:val="0"/>
                <w:sz w:val="28"/>
                <w:szCs w:val="28"/>
                <w:lang w:eastAsia="zh-CN"/>
              </w:rPr>
              <w:t>市</w:t>
            </w:r>
            <w:r>
              <w:rPr>
                <w:rFonts w:hint="eastAsia" w:ascii="仿宋_GB2312" w:hAnsi="仿宋_GB2312" w:eastAsia="仿宋_GB2312" w:cs="仿宋_GB2312"/>
                <w:b w:val="0"/>
                <w:bCs w:val="0"/>
                <w:sz w:val="28"/>
                <w:szCs w:val="28"/>
              </w:rPr>
              <w:t>达拉特旗矿山地质环境治理方面，我厅于2025年11月结合第二轮中央生态环境保护督察问题第6项开展实地核验。综上，同意销号”。</w:t>
            </w:r>
          </w:p>
          <w:p w14:paraId="224DE441">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综上所述，沿黄各盟市持续强化水土流失综合治理，到2023年12月底前，累计新增水土流失综合治理面积4876.64平方公里。到2024年12月底前，新增水土流失综合治理11433.06平方公里，已超额完成整改任务。严格落实草畜平衡和禁牧休牧制度，水土流失面积和强度持续呈现双下降态势，水土流失治理取得阶段性成效，流域草原森林得到休养生息、合理利用和有效保护，进一步提升草原森林生态系统水土保持功能。</w:t>
            </w:r>
          </w:p>
          <w:p w14:paraId="13E98ED4">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3完成</w:t>
            </w:r>
            <w:r>
              <w:rPr>
                <w:rFonts w:hint="eastAsia" w:ascii="仿宋_GB2312" w:hAnsi="仿宋_GB2312" w:eastAsia="仿宋_GB2312" w:cs="仿宋_GB2312"/>
                <w:b/>
                <w:bCs/>
                <w:sz w:val="28"/>
                <w:szCs w:val="28"/>
              </w:rPr>
              <w:t>情况：</w:t>
            </w:r>
          </w:p>
          <w:p w14:paraId="737CDBC9">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b w:val="0"/>
                <w:bCs w:val="0"/>
                <w:sz w:val="28"/>
                <w:szCs w:val="28"/>
                <w:lang w:val="en-US" w:eastAsia="zh-CN"/>
              </w:rPr>
              <w:t>鄂尔多斯市编制完成十大孔兑综合治理方案并启动实施。2023年底，十大孔兑水土保持率达到59.73%；2024年底，十大孔兑水土保持率达到60.51%，提前一年达到目标要求</w:t>
            </w:r>
            <w:r>
              <w:rPr>
                <w:rFonts w:hint="eastAsia" w:ascii="仿宋_GB2312" w:hAnsi="仿宋_GB2312" w:eastAsia="仿宋_GB2312" w:cs="仿宋_GB2312"/>
                <w:b w:val="0"/>
                <w:bCs w:val="0"/>
                <w:sz w:val="28"/>
                <w:szCs w:val="28"/>
                <w:lang w:val="en-US" w:eastAsia="zh-CN"/>
              </w:rPr>
              <w:t>。</w:t>
            </w:r>
          </w:p>
        </w:tc>
      </w:tr>
    </w:tbl>
    <w:p w14:paraId="007153EF">
      <w:pPr>
        <w:pStyle w:val="9"/>
        <w:ind w:left="0" w:leftChars="0" w:firstLine="0" w:firstLineChars="0"/>
        <w:rPr>
          <w:rFonts w:hint="default" w:ascii="方正小标宋简体" w:hAnsi="方正小标宋简体" w:eastAsia="方正小标宋简体" w:cs="方正小标宋简体"/>
          <w:sz w:val="44"/>
          <w:szCs w:val="44"/>
          <w:lang w:val="en-US" w:eastAsia="zh-CN"/>
        </w:rPr>
      </w:pPr>
      <w:bookmarkStart w:id="0" w:name="_GoBack"/>
      <w:bookmarkEnd w:id="0"/>
    </w:p>
    <w:sectPr>
      <w:footerReference r:id="rId3" w:type="default"/>
      <w:pgSz w:w="11906" w:h="16838"/>
      <w:pgMar w:top="1871" w:right="1514" w:bottom="1701" w:left="151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5C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65B9F">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8D65B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WI3NTFlYzdhYTgyMzI4NTg0NWI0MTM0MGJjMzUifQ=="/>
  </w:docVars>
  <w:rsids>
    <w:rsidRoot w:val="EC9B913B"/>
    <w:rsid w:val="001D7856"/>
    <w:rsid w:val="00222183"/>
    <w:rsid w:val="00367136"/>
    <w:rsid w:val="00414265"/>
    <w:rsid w:val="00713AE1"/>
    <w:rsid w:val="007678EF"/>
    <w:rsid w:val="00982817"/>
    <w:rsid w:val="009A7FD5"/>
    <w:rsid w:val="009E3224"/>
    <w:rsid w:val="00C91368"/>
    <w:rsid w:val="00DA3C55"/>
    <w:rsid w:val="00EC0C97"/>
    <w:rsid w:val="045F4DED"/>
    <w:rsid w:val="050F083B"/>
    <w:rsid w:val="0C542D5E"/>
    <w:rsid w:val="11836419"/>
    <w:rsid w:val="11D662E4"/>
    <w:rsid w:val="12490E8B"/>
    <w:rsid w:val="143D3D6F"/>
    <w:rsid w:val="14661694"/>
    <w:rsid w:val="172C6600"/>
    <w:rsid w:val="1B476513"/>
    <w:rsid w:val="1CD301D7"/>
    <w:rsid w:val="26CD1779"/>
    <w:rsid w:val="2AAC7F23"/>
    <w:rsid w:val="2E9D3F7F"/>
    <w:rsid w:val="2EFF7F8D"/>
    <w:rsid w:val="2FBD42B7"/>
    <w:rsid w:val="31070BAB"/>
    <w:rsid w:val="3130562D"/>
    <w:rsid w:val="338F7D64"/>
    <w:rsid w:val="33951EF8"/>
    <w:rsid w:val="357C0AAC"/>
    <w:rsid w:val="364324BA"/>
    <w:rsid w:val="37A371FB"/>
    <w:rsid w:val="3E2B01B3"/>
    <w:rsid w:val="3F6F0748"/>
    <w:rsid w:val="41821DE3"/>
    <w:rsid w:val="43CB3989"/>
    <w:rsid w:val="47F9515C"/>
    <w:rsid w:val="4D5B2C1F"/>
    <w:rsid w:val="4DFF83EC"/>
    <w:rsid w:val="4E980D33"/>
    <w:rsid w:val="4EFD753C"/>
    <w:rsid w:val="52A43B65"/>
    <w:rsid w:val="53C75CDB"/>
    <w:rsid w:val="596B8E76"/>
    <w:rsid w:val="5FAF43E1"/>
    <w:rsid w:val="62536216"/>
    <w:rsid w:val="640B731B"/>
    <w:rsid w:val="669D0F49"/>
    <w:rsid w:val="68D756E5"/>
    <w:rsid w:val="6B8E2D0B"/>
    <w:rsid w:val="6C5E0930"/>
    <w:rsid w:val="6DEDB847"/>
    <w:rsid w:val="6F532D01"/>
    <w:rsid w:val="6FF775B3"/>
    <w:rsid w:val="702C5C6C"/>
    <w:rsid w:val="742A10F7"/>
    <w:rsid w:val="77BF9839"/>
    <w:rsid w:val="77FD0994"/>
    <w:rsid w:val="79D16EB7"/>
    <w:rsid w:val="7B810197"/>
    <w:rsid w:val="7C7F0389"/>
    <w:rsid w:val="7DC16194"/>
    <w:rsid w:val="7DF5FB0C"/>
    <w:rsid w:val="7E7FE72C"/>
    <w:rsid w:val="A7FE86BC"/>
    <w:rsid w:val="BEDF2EB0"/>
    <w:rsid w:val="BFFC5C3F"/>
    <w:rsid w:val="CDCF0BF3"/>
    <w:rsid w:val="DFA8664B"/>
    <w:rsid w:val="E6BB347A"/>
    <w:rsid w:val="E7FE9B48"/>
    <w:rsid w:val="EBC36828"/>
    <w:rsid w:val="EC9B913B"/>
    <w:rsid w:val="EF5765F9"/>
    <w:rsid w:val="F1FF0909"/>
    <w:rsid w:val="F3D877E1"/>
    <w:rsid w:val="F6FFDFD5"/>
    <w:rsid w:val="FAFFB7A6"/>
    <w:rsid w:val="FBFE32B1"/>
    <w:rsid w:val="FD7F787A"/>
    <w:rsid w:val="FDF5FCD7"/>
    <w:rsid w:val="FDFF9E78"/>
    <w:rsid w:val="FFD72EBB"/>
    <w:rsid w:val="FFEFB9AB"/>
    <w:rsid w:val="FFF6D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rPr>
      <w:rFonts w:ascii="Times New Roman" w:hAnsi="Times New Roman" w:eastAsia="宋体" w:cs="Times New Roman"/>
      <w:szCs w:val="21"/>
    </w:r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eastAsia="宋体" w:cs="Times New Roman"/>
      <w:sz w:val="20"/>
    </w:rPr>
  </w:style>
  <w:style w:type="paragraph" w:styleId="8">
    <w:name w:val="Normal (Web)"/>
    <w:basedOn w:val="1"/>
    <w:next w:val="9"/>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next w:val="1"/>
    <w:qFormat/>
    <w:uiPriority w:val="0"/>
    <w:pPr>
      <w:ind w:firstLine="420" w:firstLineChars="100"/>
    </w:pPr>
  </w:style>
  <w:style w:type="paragraph" w:styleId="10">
    <w:name w:val="Body Text First Indent 2"/>
    <w:basedOn w:val="3"/>
    <w:unhideWhenUsed/>
    <w:qFormat/>
    <w:uiPriority w:val="0"/>
    <w:pPr>
      <w:ind w:firstLine="420" w:firstLineChars="200"/>
    </w:pPr>
  </w:style>
  <w:style w:type="table" w:styleId="12">
    <w:name w:val="Table Grid"/>
    <w:basedOn w:val="11"/>
    <w:qFormat/>
    <w:uiPriority w:val="0"/>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13"/>
    <w:link w:val="4"/>
    <w:qFormat/>
    <w:uiPriority w:val="0"/>
    <w:rPr>
      <w:rFonts w:ascii="等线" w:hAnsi="等线" w:eastAsia="等线"/>
      <w:kern w:val="2"/>
      <w:sz w:val="18"/>
      <w:szCs w:val="18"/>
    </w:rPr>
  </w:style>
  <w:style w:type="character" w:customStyle="1" w:styleId="15">
    <w:name w:val="页眉 Char"/>
    <w:basedOn w:val="13"/>
    <w:link w:val="6"/>
    <w:qFormat/>
    <w:uiPriority w:val="0"/>
    <w:rPr>
      <w:rFonts w:ascii="等线" w:hAnsi="等线" w:eastAsia="等线"/>
      <w:kern w:val="2"/>
      <w:sz w:val="18"/>
      <w:szCs w:val="18"/>
    </w:rPr>
  </w:style>
  <w:style w:type="paragraph" w:customStyle="1" w:styleId="16">
    <w:name w:val="正文首行缩进 21"/>
    <w:basedOn w:val="1"/>
    <w:qFormat/>
    <w:uiPriority w:val="0"/>
    <w:pPr>
      <w:spacing w:line="360" w:lineRule="auto"/>
      <w:ind w:firstLine="420" w:firstLineChars="200"/>
      <w:jc w:val="left"/>
    </w:pPr>
    <w:rPr>
      <w:rFonts w:ascii="Calibri" w:hAnsi="Calibri" w:eastAsia="仿宋_GB2312"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1971</Words>
  <Characters>2273</Characters>
  <Lines>15</Lines>
  <Paragraphs>4</Paragraphs>
  <TotalTime>13</TotalTime>
  <ScaleCrop>false</ScaleCrop>
  <LinksUpToDate>false</LinksUpToDate>
  <CharactersWithSpaces>2275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2023-02-27T10:01:00Z</dcterms:created>
  <dc:creator>thtf</dc:creator>
  <cp:lastModifiedBy>greatwall</cp:lastModifiedBy>
  <cp:lastPrinted>2026-01-06T16:41:00Z</cp:lastPrinted>
  <dcterms:modified xsi:type="dcterms:W3CDTF">2026-02-02T11:33:31Z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803FA4C873B3D4183DD1596929B3475F_43</vt:lpwstr>
  </property>
</Properties>
</file>