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0" w:firstLineChars="0"/>
        <w:jc w:val="both"/>
        <w:rPr>
          <w:rFonts w:ascii="Times New Roman" w:hAnsi="Times New Roman" w:eastAsia="宋体" w:cs="Times New Roman"/>
          <w:b/>
          <w:bCs/>
          <w:color w:val="000000" w:themeColor="text1"/>
          <w:sz w:val="40"/>
          <w:szCs w:val="44"/>
          <w14:textFill>
            <w14:solidFill>
              <w14:schemeClr w14:val="tx1"/>
            </w14:solidFill>
          </w14:textFill>
        </w:rPr>
      </w:pPr>
      <w:bookmarkStart w:id="239" w:name="_GoBack"/>
      <w:bookmarkEnd w:id="239"/>
    </w:p>
    <w:p>
      <w:pPr>
        <w:spacing w:line="360" w:lineRule="auto"/>
        <w:ind w:firstLine="0" w:firstLineChars="0"/>
        <w:jc w:val="center"/>
        <w:rPr>
          <w:rFonts w:ascii="Times New Roman" w:hAnsi="Times New Roman" w:eastAsia="宋体" w:cs="Times New Roman"/>
          <w:b/>
          <w:bCs/>
          <w:color w:val="000000" w:themeColor="text1"/>
          <w:sz w:val="40"/>
          <w:szCs w:val="44"/>
          <w14:textFill>
            <w14:solidFill>
              <w14:schemeClr w14:val="tx1"/>
            </w14:solidFill>
          </w14:textFill>
        </w:rPr>
      </w:pPr>
    </w:p>
    <w:p>
      <w:pPr>
        <w:spacing w:line="360" w:lineRule="auto"/>
        <w:ind w:firstLine="0" w:firstLineChars="0"/>
        <w:jc w:val="center"/>
        <w:rPr>
          <w:rFonts w:ascii="Times New Roman" w:hAnsi="Times New Roman" w:eastAsia="宋体" w:cs="Times New Roman"/>
          <w:b/>
          <w:bCs/>
          <w:color w:val="000000" w:themeColor="text1"/>
          <w:sz w:val="40"/>
          <w:szCs w:val="44"/>
          <w14:textFill>
            <w14:solidFill>
              <w14:schemeClr w14:val="tx1"/>
            </w14:solidFill>
          </w14:textFill>
        </w:rPr>
      </w:pPr>
    </w:p>
    <w:p>
      <w:pPr>
        <w:spacing w:line="360" w:lineRule="auto"/>
        <w:ind w:firstLine="0" w:firstLineChars="0"/>
        <w:jc w:val="center"/>
        <w:rPr>
          <w:rFonts w:ascii="Times New Roman" w:hAnsi="Times New Roman" w:eastAsia="宋体" w:cs="Times New Roman"/>
          <w:b/>
          <w:bCs/>
          <w:color w:val="000000" w:themeColor="text1"/>
          <w:sz w:val="40"/>
          <w:szCs w:val="44"/>
          <w14:textFill>
            <w14:solidFill>
              <w14:schemeClr w14:val="tx1"/>
            </w14:solidFill>
          </w14:textFill>
        </w:rPr>
      </w:pPr>
    </w:p>
    <w:p>
      <w:pPr>
        <w:spacing w:line="360" w:lineRule="auto"/>
        <w:ind w:firstLine="0" w:firstLineChars="0"/>
        <w:jc w:val="center"/>
        <w:rPr>
          <w:rFonts w:ascii="方正小标宋简体" w:hAnsi="Times New Roman" w:eastAsia="方正小标宋简体" w:cs="Times New Roman"/>
          <w:bCs/>
          <w:color w:val="000000" w:themeColor="text1"/>
          <w:spacing w:val="-6"/>
          <w:sz w:val="44"/>
          <w:szCs w:val="44"/>
          <w14:textFill>
            <w14:solidFill>
              <w14:schemeClr w14:val="tx1"/>
            </w14:solidFill>
          </w14:textFill>
        </w:rPr>
      </w:pPr>
      <w:r>
        <w:rPr>
          <w:rFonts w:hint="eastAsia" w:ascii="方正小标宋简体" w:hAnsi="Times New Roman" w:eastAsia="方正小标宋简体" w:cs="Times New Roman"/>
          <w:bCs/>
          <w:color w:val="000000" w:themeColor="text1"/>
          <w:spacing w:val="-6"/>
          <w:sz w:val="44"/>
          <w:szCs w:val="44"/>
          <w14:textFill>
            <w14:solidFill>
              <w14:schemeClr w14:val="tx1"/>
            </w14:solidFill>
          </w14:textFill>
        </w:rPr>
        <w:t>巴彦淖尔市“十四五”卫生与健康事业发展规划</w:t>
      </w:r>
    </w:p>
    <w:p>
      <w:pPr>
        <w:widowControl/>
        <w:ind w:firstLine="0" w:firstLineChars="0"/>
        <w:jc w:val="center"/>
        <w:rPr>
          <w:rFonts w:ascii="方正小标宋简体" w:hAnsi="Times New Roman" w:eastAsia="方正小标宋简体" w:cs="Times New Roman"/>
          <w:bCs/>
          <w:color w:val="000000" w:themeColor="text1"/>
          <w:sz w:val="44"/>
          <w:szCs w:val="44"/>
          <w14:textFill>
            <w14:solidFill>
              <w14:schemeClr w14:val="tx1"/>
            </w14:solidFill>
          </w14:textFill>
        </w:rPr>
      </w:pPr>
    </w:p>
    <w:p>
      <w:pPr>
        <w:widowControl/>
        <w:ind w:firstLine="0" w:firstLineChars="0"/>
        <w:jc w:val="center"/>
        <w:rPr>
          <w:rFonts w:hint="eastAsia" w:ascii="Times New Roman" w:hAnsi="Times New Roman" w:eastAsia="宋体" w:cs="Times New Roman"/>
          <w:b/>
          <w:bCs/>
          <w:color w:val="000000" w:themeColor="text1"/>
          <w:sz w:val="40"/>
          <w:szCs w:val="44"/>
          <w14:textFill>
            <w14:solidFill>
              <w14:schemeClr w14:val="tx1"/>
            </w14:solidFill>
          </w14:textFill>
        </w:rPr>
      </w:pPr>
    </w:p>
    <w:p>
      <w:pPr>
        <w:widowControl/>
        <w:ind w:firstLine="0" w:firstLineChars="0"/>
        <w:jc w:val="center"/>
        <w:rPr>
          <w:rFonts w:ascii="Times New Roman" w:hAnsi="Times New Roman" w:eastAsia="宋体" w:cs="Times New Roman"/>
          <w:b/>
          <w:bCs/>
          <w:color w:val="000000" w:themeColor="text1"/>
          <w:sz w:val="40"/>
          <w:szCs w:val="44"/>
          <w14:textFill>
            <w14:solidFill>
              <w14:schemeClr w14:val="tx1"/>
            </w14:solidFill>
          </w14:textFill>
        </w:rPr>
      </w:pPr>
    </w:p>
    <w:p>
      <w:pPr>
        <w:widowControl/>
        <w:ind w:firstLine="0" w:firstLineChars="0"/>
        <w:jc w:val="center"/>
        <w:rPr>
          <w:rFonts w:ascii="Times New Roman" w:hAnsi="Times New Roman" w:eastAsia="宋体" w:cs="Times New Roman"/>
          <w:b/>
          <w:bCs/>
          <w:color w:val="000000" w:themeColor="text1"/>
          <w:sz w:val="40"/>
          <w:szCs w:val="44"/>
          <w14:textFill>
            <w14:solidFill>
              <w14:schemeClr w14:val="tx1"/>
            </w14:solidFill>
          </w14:textFill>
        </w:rPr>
      </w:pPr>
    </w:p>
    <w:p>
      <w:pPr>
        <w:widowControl/>
        <w:ind w:firstLine="0" w:firstLineChars="0"/>
        <w:jc w:val="center"/>
        <w:rPr>
          <w:rFonts w:ascii="Times New Roman" w:hAnsi="Times New Roman" w:eastAsia="宋体" w:cs="Times New Roman"/>
          <w:b/>
          <w:bCs/>
          <w:color w:val="000000" w:themeColor="text1"/>
          <w:sz w:val="40"/>
          <w:szCs w:val="44"/>
          <w14:textFill>
            <w14:solidFill>
              <w14:schemeClr w14:val="tx1"/>
            </w14:solidFill>
          </w14:textFill>
        </w:rPr>
      </w:pPr>
    </w:p>
    <w:p>
      <w:pPr>
        <w:widowControl/>
        <w:ind w:firstLine="0" w:firstLineChars="0"/>
        <w:jc w:val="center"/>
        <w:rPr>
          <w:rFonts w:ascii="Times New Roman" w:hAnsi="Times New Roman" w:eastAsia="宋体" w:cs="Times New Roman"/>
          <w:b/>
          <w:bCs/>
          <w:color w:val="000000" w:themeColor="text1"/>
          <w:sz w:val="40"/>
          <w:szCs w:val="44"/>
          <w14:textFill>
            <w14:solidFill>
              <w14:schemeClr w14:val="tx1"/>
            </w14:solidFill>
          </w14:textFill>
        </w:rPr>
      </w:pPr>
    </w:p>
    <w:p>
      <w:pPr>
        <w:widowControl/>
        <w:ind w:firstLine="0" w:firstLineChars="0"/>
        <w:jc w:val="center"/>
        <w:rPr>
          <w:rFonts w:ascii="Times New Roman" w:hAnsi="Times New Roman" w:eastAsia="宋体" w:cs="Times New Roman"/>
          <w:b/>
          <w:bCs/>
          <w:color w:val="000000" w:themeColor="text1"/>
          <w:sz w:val="40"/>
          <w:szCs w:val="44"/>
          <w14:textFill>
            <w14:solidFill>
              <w14:schemeClr w14:val="tx1"/>
            </w14:solidFill>
          </w14:textFill>
        </w:rPr>
      </w:pPr>
    </w:p>
    <w:p>
      <w:pPr>
        <w:widowControl/>
        <w:ind w:firstLine="0" w:firstLineChars="0"/>
        <w:jc w:val="center"/>
        <w:rPr>
          <w:rFonts w:ascii="Times New Roman" w:hAnsi="Times New Roman" w:eastAsia="宋体" w:cs="Times New Roman"/>
          <w:b/>
          <w:bCs/>
          <w:color w:val="000000" w:themeColor="text1"/>
          <w:sz w:val="40"/>
          <w:szCs w:val="44"/>
          <w14:textFill>
            <w14:solidFill>
              <w14:schemeClr w14:val="tx1"/>
            </w14:solidFill>
          </w14:textFill>
        </w:rPr>
      </w:pPr>
    </w:p>
    <w:p>
      <w:pPr>
        <w:widowControl/>
        <w:ind w:firstLine="0" w:firstLineChars="0"/>
        <w:jc w:val="center"/>
        <w:rPr>
          <w:rFonts w:ascii="Times New Roman" w:hAnsi="Times New Roman" w:eastAsia="宋体" w:cs="Times New Roman"/>
          <w:b/>
          <w:bCs/>
          <w:color w:val="000000" w:themeColor="text1"/>
          <w:sz w:val="40"/>
          <w:szCs w:val="44"/>
          <w14:textFill>
            <w14:solidFill>
              <w14:schemeClr w14:val="tx1"/>
            </w14:solidFill>
          </w14:textFill>
        </w:rPr>
      </w:pPr>
    </w:p>
    <w:p>
      <w:pPr>
        <w:widowControl/>
        <w:ind w:firstLine="0" w:firstLineChars="0"/>
        <w:jc w:val="center"/>
        <w:rPr>
          <w:rFonts w:ascii="Times New Roman" w:hAnsi="Times New Roman" w:eastAsia="宋体" w:cs="Times New Roman"/>
          <w:b/>
          <w:bCs/>
          <w:color w:val="000000" w:themeColor="text1"/>
          <w:sz w:val="40"/>
          <w:szCs w:val="44"/>
          <w14:textFill>
            <w14:solidFill>
              <w14:schemeClr w14:val="tx1"/>
            </w14:solidFill>
          </w14:textFill>
        </w:rPr>
      </w:pPr>
    </w:p>
    <w:p>
      <w:pPr>
        <w:widowControl/>
        <w:ind w:firstLine="0" w:firstLineChars="0"/>
        <w:jc w:val="center"/>
        <w:rPr>
          <w:rFonts w:ascii="Times New Roman" w:hAnsi="Times New Roman" w:eastAsia="宋体" w:cs="Times New Roman"/>
          <w:b/>
          <w:bCs/>
          <w:color w:val="000000" w:themeColor="text1"/>
          <w:sz w:val="40"/>
          <w:szCs w:val="44"/>
          <w14:textFill>
            <w14:solidFill>
              <w14:schemeClr w14:val="tx1"/>
            </w14:solidFill>
          </w14:textFill>
        </w:rPr>
      </w:pPr>
    </w:p>
    <w:p>
      <w:pPr>
        <w:widowControl/>
        <w:ind w:firstLine="0" w:firstLineChars="0"/>
        <w:jc w:val="center"/>
        <w:rPr>
          <w:rFonts w:ascii="Times New Roman" w:hAnsi="Times New Roman" w:eastAsia="宋体" w:cs="Times New Roman"/>
          <w:b/>
          <w:bCs/>
          <w:color w:val="000000" w:themeColor="text1"/>
          <w:sz w:val="40"/>
          <w:szCs w:val="44"/>
          <w14:textFill>
            <w14:solidFill>
              <w14:schemeClr w14:val="tx1"/>
            </w14:solidFill>
          </w14:textFill>
        </w:rPr>
      </w:pPr>
    </w:p>
    <w:p>
      <w:pPr>
        <w:widowControl/>
        <w:ind w:firstLine="0" w:firstLineChars="0"/>
        <w:jc w:val="center"/>
        <w:rPr>
          <w:rFonts w:ascii="Times New Roman" w:hAnsi="Times New Roman" w:eastAsia="宋体" w:cs="Times New Roman"/>
          <w:b/>
          <w:bCs/>
          <w:color w:val="000000" w:themeColor="text1"/>
          <w:sz w:val="40"/>
          <w:szCs w:val="44"/>
          <w14:textFill>
            <w14:solidFill>
              <w14:schemeClr w14:val="tx1"/>
            </w14:solidFill>
          </w14:textFill>
        </w:rPr>
      </w:pPr>
    </w:p>
    <w:p>
      <w:pPr>
        <w:widowControl/>
        <w:ind w:firstLine="0" w:firstLineChars="0"/>
        <w:jc w:val="center"/>
        <w:rPr>
          <w:rFonts w:hint="eastAsia" w:ascii="楷体_GB2312" w:hAnsi="楷体_GB2312" w:eastAsia="楷体_GB2312" w:cs="楷体_GB2312"/>
          <w:color w:val="000000" w:themeColor="text1"/>
          <w:sz w:val="36"/>
          <w:szCs w:val="32"/>
          <w14:textFill>
            <w14:solidFill>
              <w14:schemeClr w14:val="tx1"/>
            </w14:solidFill>
          </w14:textFill>
        </w:rPr>
      </w:pPr>
      <w:r>
        <w:rPr>
          <w:rFonts w:hint="eastAsia" w:ascii="楷体_GB2312" w:hAnsi="楷体_GB2312" w:eastAsia="楷体_GB2312" w:cs="楷体_GB2312"/>
          <w:color w:val="000000" w:themeColor="text1"/>
          <w:sz w:val="36"/>
          <w:szCs w:val="32"/>
          <w14:textFill>
            <w14:solidFill>
              <w14:schemeClr w14:val="tx1"/>
            </w14:solidFill>
          </w14:textFill>
        </w:rPr>
        <w:t>巴彦淖尔市卫生健康委员会</w:t>
      </w:r>
    </w:p>
    <w:p>
      <w:pPr>
        <w:widowControl/>
        <w:ind w:firstLine="0" w:firstLineChars="0"/>
        <w:rPr>
          <w:rFonts w:ascii="Times New Roman" w:hAnsi="Times New Roman" w:cs="Times New Roman"/>
        </w:rPr>
      </w:pPr>
      <w:r>
        <w:rPr>
          <w:rFonts w:ascii="Times New Roman" w:hAnsi="Times New Roman" w:eastAsia="宋体" w:cs="Times New Roman"/>
          <w:b/>
          <w:bCs/>
          <w:color w:val="000000" w:themeColor="text1"/>
          <w:sz w:val="40"/>
          <w:szCs w:val="44"/>
          <w14:textFill>
            <w14:solidFill>
              <w14:schemeClr w14:val="tx1"/>
            </w14:solidFill>
          </w14:textFill>
        </w:rPr>
        <w:t xml:space="preserve">                                                                                                                                                                                                                                                                                                                                                                                                                                                                                                                                                                                                                                                                                                                                                                                                                                                                                                                                                                                                                                                                                                                                                                                                                                                                                                                                                                                                                                                                                                                                                                                                                                                                                                                                                                                                                                                                                                                    </w:t>
      </w:r>
      <w:r>
        <w:rPr>
          <w:rFonts w:ascii="Times New Roman" w:hAnsi="Times New Roman" w:cs="Times New Roman"/>
        </w:rPr>
        <w:t xml:space="preserve">                                                                                                                                                                                                                                                                                                                                                                                                                                                                                                                                                                                                                                                                                                                                                                                                                                                                                                                                                                                                                                                                                                                                                                                                                                                                                                                                                                                                                                                                                                                                                                                                                                                                                                                                                                                                                                                                                                                                                                                                                                                                                                                                                                                                                                                                                                                                                                                                                                                                                                                                                                                                                                                                                                                   </w:t>
      </w:r>
    </w:p>
    <w:p>
      <w:pPr>
        <w:widowControl/>
        <w:ind w:firstLine="0" w:firstLineChars="0"/>
        <w:jc w:val="center"/>
        <w:rPr>
          <w:rFonts w:ascii="方正小标宋简体" w:hAnsi="Times New Roman" w:eastAsia="方正小标宋简体" w:cs="Times New Roman"/>
          <w:bCs/>
          <w:color w:val="000000" w:themeColor="text1"/>
          <w:sz w:val="42"/>
          <w:szCs w:val="44"/>
          <w14:textFill>
            <w14:solidFill>
              <w14:schemeClr w14:val="tx1"/>
            </w14:solidFill>
          </w14:textFill>
        </w:rPr>
      </w:pPr>
      <w:r>
        <w:rPr>
          <w:rFonts w:hint="eastAsia" w:ascii="方正小标宋简体" w:hAnsi="Times New Roman" w:eastAsia="方正小标宋简体" w:cs="Times New Roman"/>
          <w:bCs/>
          <w:color w:val="000000" w:themeColor="text1"/>
          <w:sz w:val="42"/>
          <w:szCs w:val="44"/>
          <w14:textFill>
            <w14:solidFill>
              <w14:schemeClr w14:val="tx1"/>
            </w14:solidFill>
          </w14:textFill>
        </w:rPr>
        <w:t>目  录</w:t>
      </w:r>
    </w:p>
    <w:p>
      <w:pPr>
        <w:spacing w:line="240" w:lineRule="exact"/>
        <w:ind w:firstLine="0" w:firstLineChars="0"/>
      </w:pPr>
    </w:p>
    <w:p>
      <w:pPr>
        <w:pStyle w:val="10"/>
        <w:tabs>
          <w:tab w:val="right" w:leader="dot" w:pos="8948"/>
        </w:tabs>
        <w:ind w:firstLine="0" w:firstLineChars="0"/>
        <w:rPr>
          <w:rFonts w:ascii="Times New Roman" w:hAnsi="Times New Roman" w:cs="Times New Roman"/>
          <w:b/>
          <w:sz w:val="34"/>
          <w:szCs w:val="36"/>
        </w:rPr>
      </w:pPr>
      <w:r>
        <w:rPr>
          <w:rFonts w:ascii="Times New Roman" w:hAnsi="Times New Roman" w:cs="Times New Roman"/>
          <w:b/>
          <w:bCs/>
          <w:color w:val="000000" w:themeColor="text1"/>
          <w:sz w:val="34"/>
          <w:szCs w:val="36"/>
          <w14:textFill>
            <w14:solidFill>
              <w14:schemeClr w14:val="tx1"/>
            </w14:solidFill>
          </w14:textFill>
        </w:rPr>
        <w:fldChar w:fldCharType="begin"/>
      </w:r>
      <w:r>
        <w:rPr>
          <w:rFonts w:ascii="Times New Roman" w:hAnsi="Times New Roman" w:cs="Times New Roman"/>
          <w:b/>
          <w:bCs/>
          <w:color w:val="000000" w:themeColor="text1"/>
          <w:sz w:val="34"/>
          <w:szCs w:val="36"/>
          <w14:textFill>
            <w14:solidFill>
              <w14:schemeClr w14:val="tx1"/>
            </w14:solidFill>
          </w14:textFill>
        </w:rPr>
        <w:instrText xml:space="preserve"> TOC \o "1-3" \h \z \u </w:instrText>
      </w:r>
      <w:r>
        <w:rPr>
          <w:rFonts w:ascii="Times New Roman" w:hAnsi="Times New Roman" w:cs="Times New Roman"/>
          <w:b/>
          <w:bCs/>
          <w:color w:val="000000" w:themeColor="text1"/>
          <w:sz w:val="34"/>
          <w:szCs w:val="36"/>
          <w14:textFill>
            <w14:solidFill>
              <w14:schemeClr w14:val="tx1"/>
            </w14:solidFill>
          </w14:textFill>
        </w:rPr>
        <w:fldChar w:fldCharType="separate"/>
      </w:r>
      <w:r>
        <w:fldChar w:fldCharType="begin"/>
      </w:r>
      <w:r>
        <w:instrText xml:space="preserve"> HYPERLINK \l "_Toc119179938" </w:instrText>
      </w:r>
      <w:r>
        <w:fldChar w:fldCharType="separate"/>
      </w:r>
      <w:r>
        <w:rPr>
          <w:rStyle w:val="16"/>
          <w:rFonts w:ascii="Times New Roman" w:hAnsi="Times New Roman" w:cs="Times New Roman"/>
          <w:b/>
          <w:sz w:val="34"/>
          <w:szCs w:val="36"/>
        </w:rPr>
        <w:t>一、规划背景</w:t>
      </w:r>
      <w:r>
        <w:rPr>
          <w:rFonts w:ascii="Times New Roman" w:hAnsi="Times New Roman" w:cs="Times New Roman"/>
          <w:b/>
          <w:sz w:val="34"/>
          <w:szCs w:val="36"/>
        </w:rPr>
        <w:tab/>
      </w:r>
      <w:r>
        <w:rPr>
          <w:rFonts w:ascii="Times New Roman" w:hAnsi="Times New Roman" w:cs="Times New Roman"/>
          <w:b/>
          <w:sz w:val="34"/>
          <w:szCs w:val="36"/>
        </w:rPr>
        <w:fldChar w:fldCharType="begin"/>
      </w:r>
      <w:r>
        <w:rPr>
          <w:rFonts w:ascii="Times New Roman" w:hAnsi="Times New Roman" w:cs="Times New Roman"/>
          <w:b/>
          <w:sz w:val="34"/>
          <w:szCs w:val="36"/>
        </w:rPr>
        <w:instrText xml:space="preserve"> PAGEREF _Toc119179938 \h </w:instrText>
      </w:r>
      <w:r>
        <w:rPr>
          <w:rFonts w:ascii="Times New Roman" w:hAnsi="Times New Roman" w:cs="Times New Roman"/>
          <w:b/>
          <w:sz w:val="34"/>
          <w:szCs w:val="36"/>
        </w:rPr>
        <w:fldChar w:fldCharType="separate"/>
      </w:r>
      <w:r>
        <w:rPr>
          <w:rFonts w:ascii="Times New Roman" w:hAnsi="Times New Roman" w:cs="Times New Roman"/>
          <w:b/>
          <w:sz w:val="34"/>
          <w:szCs w:val="36"/>
        </w:rPr>
        <w:t>1</w:t>
      </w:r>
      <w:r>
        <w:rPr>
          <w:rFonts w:ascii="Times New Roman" w:hAnsi="Times New Roman" w:cs="Times New Roman"/>
          <w:b/>
          <w:sz w:val="34"/>
          <w:szCs w:val="36"/>
        </w:rPr>
        <w:fldChar w:fldCharType="end"/>
      </w:r>
      <w:r>
        <w:rPr>
          <w:rFonts w:ascii="Times New Roman" w:hAnsi="Times New Roman" w:cs="Times New Roman"/>
          <w:b/>
          <w:sz w:val="34"/>
          <w:szCs w:val="36"/>
        </w:rPr>
        <w:fldChar w:fldCharType="end"/>
      </w:r>
    </w:p>
    <w:p>
      <w:pPr>
        <w:pStyle w:val="11"/>
        <w:tabs>
          <w:tab w:val="right" w:leader="dot" w:pos="8948"/>
        </w:tabs>
        <w:ind w:left="0" w:leftChars="0" w:firstLine="680" w:firstLineChars="0"/>
        <w:rPr>
          <w:rFonts w:ascii="Times New Roman" w:hAnsi="Times New Roman" w:cs="Times New Roman"/>
          <w:sz w:val="34"/>
          <w:szCs w:val="36"/>
        </w:rPr>
      </w:pPr>
      <w:r>
        <w:fldChar w:fldCharType="begin"/>
      </w:r>
      <w:r>
        <w:instrText xml:space="preserve"> HYPERLINK \l "_Toc119179939" </w:instrText>
      </w:r>
      <w:r>
        <w:fldChar w:fldCharType="separate"/>
      </w:r>
      <w:r>
        <w:rPr>
          <w:rStyle w:val="16"/>
          <w:rFonts w:ascii="Times New Roman" w:hAnsi="Times New Roman" w:cs="Times New Roman"/>
          <w:sz w:val="34"/>
          <w:szCs w:val="36"/>
        </w:rPr>
        <w:t>（一）“十三五”时期取得的主要成就</w:t>
      </w:r>
      <w:r>
        <w:rPr>
          <w:rFonts w:ascii="Times New Roman" w:hAnsi="Times New Roman" w:cs="Times New Roman"/>
          <w:sz w:val="34"/>
          <w:szCs w:val="36"/>
        </w:rPr>
        <w:tab/>
      </w:r>
      <w:r>
        <w:rPr>
          <w:rFonts w:ascii="Times New Roman" w:hAnsi="Times New Roman" w:cs="Times New Roman"/>
          <w:sz w:val="34"/>
          <w:szCs w:val="36"/>
        </w:rPr>
        <w:fldChar w:fldCharType="begin"/>
      </w:r>
      <w:r>
        <w:rPr>
          <w:rFonts w:ascii="Times New Roman" w:hAnsi="Times New Roman" w:cs="Times New Roman"/>
          <w:sz w:val="34"/>
          <w:szCs w:val="36"/>
        </w:rPr>
        <w:instrText xml:space="preserve"> PAGEREF _Toc119179939 \h </w:instrText>
      </w:r>
      <w:r>
        <w:rPr>
          <w:rFonts w:ascii="Times New Roman" w:hAnsi="Times New Roman" w:cs="Times New Roman"/>
          <w:sz w:val="34"/>
          <w:szCs w:val="36"/>
        </w:rPr>
        <w:fldChar w:fldCharType="separate"/>
      </w:r>
      <w:r>
        <w:rPr>
          <w:rFonts w:ascii="Times New Roman" w:hAnsi="Times New Roman" w:cs="Times New Roman"/>
          <w:sz w:val="34"/>
          <w:szCs w:val="36"/>
        </w:rPr>
        <w:t>1</w:t>
      </w:r>
      <w:r>
        <w:rPr>
          <w:rFonts w:ascii="Times New Roman" w:hAnsi="Times New Roman" w:cs="Times New Roman"/>
          <w:sz w:val="34"/>
          <w:szCs w:val="36"/>
        </w:rPr>
        <w:fldChar w:fldCharType="end"/>
      </w:r>
      <w:r>
        <w:rPr>
          <w:rFonts w:ascii="Times New Roman" w:hAnsi="Times New Roman" w:cs="Times New Roman"/>
          <w:sz w:val="34"/>
          <w:szCs w:val="36"/>
        </w:rPr>
        <w:fldChar w:fldCharType="end"/>
      </w:r>
    </w:p>
    <w:p>
      <w:pPr>
        <w:pStyle w:val="11"/>
        <w:tabs>
          <w:tab w:val="right" w:leader="dot" w:pos="8948"/>
        </w:tabs>
        <w:ind w:left="0" w:leftChars="0" w:firstLine="680" w:firstLineChars="0"/>
        <w:rPr>
          <w:rFonts w:ascii="Times New Roman" w:hAnsi="Times New Roman" w:cs="Times New Roman"/>
          <w:sz w:val="34"/>
          <w:szCs w:val="36"/>
        </w:rPr>
      </w:pPr>
      <w:r>
        <w:fldChar w:fldCharType="begin"/>
      </w:r>
      <w:r>
        <w:instrText xml:space="preserve"> HYPERLINK \l "_Toc119179949" </w:instrText>
      </w:r>
      <w:r>
        <w:fldChar w:fldCharType="separate"/>
      </w:r>
      <w:r>
        <w:rPr>
          <w:rStyle w:val="16"/>
          <w:rFonts w:ascii="Times New Roman" w:hAnsi="Times New Roman" w:cs="Times New Roman"/>
          <w:sz w:val="34"/>
          <w:szCs w:val="36"/>
        </w:rPr>
        <w:t>（二）“十四五”时期面临的形势与挑战</w:t>
      </w:r>
      <w:r>
        <w:rPr>
          <w:rFonts w:ascii="Times New Roman" w:hAnsi="Times New Roman" w:cs="Times New Roman"/>
          <w:sz w:val="34"/>
          <w:szCs w:val="36"/>
        </w:rPr>
        <w:tab/>
      </w:r>
      <w:r>
        <w:rPr>
          <w:rFonts w:ascii="Times New Roman" w:hAnsi="Times New Roman" w:cs="Times New Roman"/>
          <w:sz w:val="34"/>
          <w:szCs w:val="36"/>
        </w:rPr>
        <w:fldChar w:fldCharType="begin"/>
      </w:r>
      <w:r>
        <w:rPr>
          <w:rFonts w:ascii="Times New Roman" w:hAnsi="Times New Roman" w:cs="Times New Roman"/>
          <w:sz w:val="34"/>
          <w:szCs w:val="36"/>
        </w:rPr>
        <w:instrText xml:space="preserve"> PAGEREF _Toc119179949 \h </w:instrText>
      </w:r>
      <w:r>
        <w:rPr>
          <w:rFonts w:ascii="Times New Roman" w:hAnsi="Times New Roman" w:cs="Times New Roman"/>
          <w:sz w:val="34"/>
          <w:szCs w:val="36"/>
        </w:rPr>
        <w:fldChar w:fldCharType="separate"/>
      </w:r>
      <w:r>
        <w:rPr>
          <w:rFonts w:ascii="Times New Roman" w:hAnsi="Times New Roman" w:cs="Times New Roman"/>
          <w:sz w:val="34"/>
          <w:szCs w:val="36"/>
        </w:rPr>
        <w:t>4</w:t>
      </w:r>
      <w:r>
        <w:rPr>
          <w:rFonts w:ascii="Times New Roman" w:hAnsi="Times New Roman" w:cs="Times New Roman"/>
          <w:sz w:val="34"/>
          <w:szCs w:val="36"/>
        </w:rPr>
        <w:fldChar w:fldCharType="end"/>
      </w:r>
      <w:r>
        <w:rPr>
          <w:rFonts w:ascii="Times New Roman" w:hAnsi="Times New Roman" w:cs="Times New Roman"/>
          <w:sz w:val="34"/>
          <w:szCs w:val="36"/>
        </w:rPr>
        <w:fldChar w:fldCharType="end"/>
      </w:r>
    </w:p>
    <w:p>
      <w:pPr>
        <w:pStyle w:val="10"/>
        <w:tabs>
          <w:tab w:val="right" w:leader="dot" w:pos="8948"/>
        </w:tabs>
        <w:ind w:firstLine="0" w:firstLineChars="0"/>
        <w:rPr>
          <w:rFonts w:ascii="Times New Roman" w:hAnsi="Times New Roman" w:cs="Times New Roman"/>
          <w:b/>
          <w:sz w:val="34"/>
          <w:szCs w:val="36"/>
        </w:rPr>
      </w:pPr>
      <w:r>
        <w:fldChar w:fldCharType="begin"/>
      </w:r>
      <w:r>
        <w:instrText xml:space="preserve"> HYPERLINK \l "_Toc119179950" </w:instrText>
      </w:r>
      <w:r>
        <w:fldChar w:fldCharType="separate"/>
      </w:r>
      <w:r>
        <w:rPr>
          <w:rStyle w:val="16"/>
          <w:rFonts w:ascii="Times New Roman" w:hAnsi="Times New Roman" w:cs="Times New Roman"/>
          <w:b/>
          <w:sz w:val="34"/>
          <w:szCs w:val="36"/>
        </w:rPr>
        <w:t>二、总体要求</w:t>
      </w:r>
      <w:r>
        <w:rPr>
          <w:rFonts w:ascii="Times New Roman" w:hAnsi="Times New Roman" w:cs="Times New Roman"/>
          <w:b/>
          <w:sz w:val="34"/>
          <w:szCs w:val="36"/>
        </w:rPr>
        <w:tab/>
      </w:r>
      <w:r>
        <w:rPr>
          <w:rFonts w:ascii="Times New Roman" w:hAnsi="Times New Roman" w:cs="Times New Roman"/>
          <w:b/>
          <w:sz w:val="34"/>
          <w:szCs w:val="36"/>
        </w:rPr>
        <w:fldChar w:fldCharType="begin"/>
      </w:r>
      <w:r>
        <w:rPr>
          <w:rFonts w:ascii="Times New Roman" w:hAnsi="Times New Roman" w:cs="Times New Roman"/>
          <w:b/>
          <w:sz w:val="34"/>
          <w:szCs w:val="36"/>
        </w:rPr>
        <w:instrText xml:space="preserve"> PAGEREF _Toc119179950 \h </w:instrText>
      </w:r>
      <w:r>
        <w:rPr>
          <w:rFonts w:ascii="Times New Roman" w:hAnsi="Times New Roman" w:cs="Times New Roman"/>
          <w:b/>
          <w:sz w:val="34"/>
          <w:szCs w:val="36"/>
        </w:rPr>
        <w:fldChar w:fldCharType="separate"/>
      </w:r>
      <w:r>
        <w:rPr>
          <w:rFonts w:ascii="Times New Roman" w:hAnsi="Times New Roman" w:cs="Times New Roman"/>
          <w:b/>
          <w:sz w:val="34"/>
          <w:szCs w:val="36"/>
        </w:rPr>
        <w:t>5</w:t>
      </w:r>
      <w:r>
        <w:rPr>
          <w:rFonts w:ascii="Times New Roman" w:hAnsi="Times New Roman" w:cs="Times New Roman"/>
          <w:b/>
          <w:sz w:val="34"/>
          <w:szCs w:val="36"/>
        </w:rPr>
        <w:fldChar w:fldCharType="end"/>
      </w:r>
      <w:r>
        <w:rPr>
          <w:rFonts w:ascii="Times New Roman" w:hAnsi="Times New Roman" w:cs="Times New Roman"/>
          <w:b/>
          <w:sz w:val="34"/>
          <w:szCs w:val="36"/>
        </w:rPr>
        <w:fldChar w:fldCharType="end"/>
      </w:r>
    </w:p>
    <w:p>
      <w:pPr>
        <w:pStyle w:val="11"/>
        <w:tabs>
          <w:tab w:val="right" w:leader="dot" w:pos="8948"/>
        </w:tabs>
        <w:ind w:left="0" w:leftChars="0" w:firstLine="680" w:firstLineChars="0"/>
        <w:rPr>
          <w:rFonts w:ascii="Times New Roman" w:hAnsi="Times New Roman" w:cs="Times New Roman"/>
          <w:sz w:val="34"/>
          <w:szCs w:val="36"/>
        </w:rPr>
      </w:pPr>
      <w:r>
        <w:fldChar w:fldCharType="begin"/>
      </w:r>
      <w:r>
        <w:instrText xml:space="preserve"> HYPERLINK \l "_Toc119179951" </w:instrText>
      </w:r>
      <w:r>
        <w:fldChar w:fldCharType="separate"/>
      </w:r>
      <w:r>
        <w:rPr>
          <w:rStyle w:val="16"/>
          <w:rFonts w:ascii="Times New Roman" w:hAnsi="Times New Roman" w:cs="Times New Roman"/>
          <w:sz w:val="34"/>
          <w:szCs w:val="36"/>
        </w:rPr>
        <w:t>（一）指导思想</w:t>
      </w:r>
      <w:r>
        <w:rPr>
          <w:rFonts w:ascii="Times New Roman" w:hAnsi="Times New Roman" w:cs="Times New Roman"/>
          <w:sz w:val="34"/>
          <w:szCs w:val="36"/>
        </w:rPr>
        <w:tab/>
      </w:r>
      <w:r>
        <w:rPr>
          <w:rFonts w:ascii="Times New Roman" w:hAnsi="Times New Roman" w:cs="Times New Roman"/>
          <w:sz w:val="34"/>
          <w:szCs w:val="36"/>
        </w:rPr>
        <w:fldChar w:fldCharType="begin"/>
      </w:r>
      <w:r>
        <w:rPr>
          <w:rFonts w:ascii="Times New Roman" w:hAnsi="Times New Roman" w:cs="Times New Roman"/>
          <w:sz w:val="34"/>
          <w:szCs w:val="36"/>
        </w:rPr>
        <w:instrText xml:space="preserve"> PAGEREF _Toc119179951 \h </w:instrText>
      </w:r>
      <w:r>
        <w:rPr>
          <w:rFonts w:ascii="Times New Roman" w:hAnsi="Times New Roman" w:cs="Times New Roman"/>
          <w:sz w:val="34"/>
          <w:szCs w:val="36"/>
        </w:rPr>
        <w:fldChar w:fldCharType="separate"/>
      </w:r>
      <w:r>
        <w:rPr>
          <w:rFonts w:ascii="Times New Roman" w:hAnsi="Times New Roman" w:cs="Times New Roman"/>
          <w:sz w:val="34"/>
          <w:szCs w:val="36"/>
        </w:rPr>
        <w:t>5</w:t>
      </w:r>
      <w:r>
        <w:rPr>
          <w:rFonts w:ascii="Times New Roman" w:hAnsi="Times New Roman" w:cs="Times New Roman"/>
          <w:sz w:val="34"/>
          <w:szCs w:val="36"/>
        </w:rPr>
        <w:fldChar w:fldCharType="end"/>
      </w:r>
      <w:r>
        <w:rPr>
          <w:rFonts w:ascii="Times New Roman" w:hAnsi="Times New Roman" w:cs="Times New Roman"/>
          <w:sz w:val="34"/>
          <w:szCs w:val="36"/>
        </w:rPr>
        <w:fldChar w:fldCharType="end"/>
      </w:r>
    </w:p>
    <w:p>
      <w:pPr>
        <w:pStyle w:val="11"/>
        <w:tabs>
          <w:tab w:val="right" w:leader="dot" w:pos="8948"/>
        </w:tabs>
        <w:ind w:left="0" w:leftChars="0" w:firstLine="680" w:firstLineChars="0"/>
        <w:rPr>
          <w:rFonts w:ascii="Times New Roman" w:hAnsi="Times New Roman" w:cs="Times New Roman"/>
          <w:sz w:val="34"/>
          <w:szCs w:val="36"/>
        </w:rPr>
      </w:pPr>
      <w:r>
        <w:fldChar w:fldCharType="begin"/>
      </w:r>
      <w:r>
        <w:instrText xml:space="preserve"> HYPERLINK \l "_Toc119179952" </w:instrText>
      </w:r>
      <w:r>
        <w:fldChar w:fldCharType="separate"/>
      </w:r>
      <w:r>
        <w:rPr>
          <w:rStyle w:val="16"/>
          <w:rFonts w:ascii="Times New Roman" w:hAnsi="Times New Roman" w:cs="Times New Roman"/>
          <w:sz w:val="34"/>
          <w:szCs w:val="36"/>
        </w:rPr>
        <w:t>（二）发展原则</w:t>
      </w:r>
      <w:r>
        <w:rPr>
          <w:rFonts w:ascii="Times New Roman" w:hAnsi="Times New Roman" w:cs="Times New Roman"/>
          <w:sz w:val="34"/>
          <w:szCs w:val="36"/>
        </w:rPr>
        <w:tab/>
      </w:r>
      <w:r>
        <w:rPr>
          <w:rFonts w:ascii="Times New Roman" w:hAnsi="Times New Roman" w:cs="Times New Roman"/>
          <w:sz w:val="34"/>
          <w:szCs w:val="36"/>
        </w:rPr>
        <w:fldChar w:fldCharType="begin"/>
      </w:r>
      <w:r>
        <w:rPr>
          <w:rFonts w:ascii="Times New Roman" w:hAnsi="Times New Roman" w:cs="Times New Roman"/>
          <w:sz w:val="34"/>
          <w:szCs w:val="36"/>
        </w:rPr>
        <w:instrText xml:space="preserve"> PAGEREF _Toc119179952 \h </w:instrText>
      </w:r>
      <w:r>
        <w:rPr>
          <w:rFonts w:ascii="Times New Roman" w:hAnsi="Times New Roman" w:cs="Times New Roman"/>
          <w:sz w:val="34"/>
          <w:szCs w:val="36"/>
        </w:rPr>
        <w:fldChar w:fldCharType="separate"/>
      </w:r>
      <w:r>
        <w:rPr>
          <w:rFonts w:ascii="Times New Roman" w:hAnsi="Times New Roman" w:cs="Times New Roman"/>
          <w:sz w:val="34"/>
          <w:szCs w:val="36"/>
        </w:rPr>
        <w:t>6</w:t>
      </w:r>
      <w:r>
        <w:rPr>
          <w:rFonts w:ascii="Times New Roman" w:hAnsi="Times New Roman" w:cs="Times New Roman"/>
          <w:sz w:val="34"/>
          <w:szCs w:val="36"/>
        </w:rPr>
        <w:fldChar w:fldCharType="end"/>
      </w:r>
      <w:r>
        <w:rPr>
          <w:rFonts w:ascii="Times New Roman" w:hAnsi="Times New Roman" w:cs="Times New Roman"/>
          <w:sz w:val="34"/>
          <w:szCs w:val="36"/>
        </w:rPr>
        <w:fldChar w:fldCharType="end"/>
      </w:r>
    </w:p>
    <w:p>
      <w:pPr>
        <w:pStyle w:val="11"/>
        <w:tabs>
          <w:tab w:val="right" w:leader="dot" w:pos="8948"/>
        </w:tabs>
        <w:ind w:left="0" w:leftChars="0" w:firstLine="680" w:firstLineChars="0"/>
        <w:rPr>
          <w:rFonts w:ascii="Times New Roman" w:hAnsi="Times New Roman" w:cs="Times New Roman"/>
          <w:sz w:val="34"/>
          <w:szCs w:val="36"/>
        </w:rPr>
      </w:pPr>
      <w:r>
        <w:fldChar w:fldCharType="begin"/>
      </w:r>
      <w:r>
        <w:instrText xml:space="preserve"> HYPERLINK \l "_Toc119179953" </w:instrText>
      </w:r>
      <w:r>
        <w:fldChar w:fldCharType="separate"/>
      </w:r>
      <w:r>
        <w:rPr>
          <w:rStyle w:val="16"/>
          <w:rFonts w:ascii="Times New Roman" w:hAnsi="Times New Roman" w:cs="Times New Roman"/>
          <w:sz w:val="34"/>
          <w:szCs w:val="36"/>
        </w:rPr>
        <w:t>（三）发展目标</w:t>
      </w:r>
      <w:r>
        <w:rPr>
          <w:rFonts w:ascii="Times New Roman" w:hAnsi="Times New Roman" w:cs="Times New Roman"/>
          <w:sz w:val="34"/>
          <w:szCs w:val="36"/>
        </w:rPr>
        <w:tab/>
      </w:r>
      <w:r>
        <w:rPr>
          <w:rFonts w:ascii="Times New Roman" w:hAnsi="Times New Roman" w:cs="Times New Roman"/>
          <w:sz w:val="34"/>
          <w:szCs w:val="36"/>
        </w:rPr>
        <w:fldChar w:fldCharType="begin"/>
      </w:r>
      <w:r>
        <w:rPr>
          <w:rFonts w:ascii="Times New Roman" w:hAnsi="Times New Roman" w:cs="Times New Roman"/>
          <w:sz w:val="34"/>
          <w:szCs w:val="36"/>
        </w:rPr>
        <w:instrText xml:space="preserve"> PAGEREF _Toc119179953 \h </w:instrText>
      </w:r>
      <w:r>
        <w:rPr>
          <w:rFonts w:ascii="Times New Roman" w:hAnsi="Times New Roman" w:cs="Times New Roman"/>
          <w:sz w:val="34"/>
          <w:szCs w:val="36"/>
        </w:rPr>
        <w:fldChar w:fldCharType="separate"/>
      </w:r>
      <w:r>
        <w:rPr>
          <w:rFonts w:ascii="Times New Roman" w:hAnsi="Times New Roman" w:cs="Times New Roman"/>
          <w:sz w:val="34"/>
          <w:szCs w:val="36"/>
        </w:rPr>
        <w:t>7</w:t>
      </w:r>
      <w:r>
        <w:rPr>
          <w:rFonts w:ascii="Times New Roman" w:hAnsi="Times New Roman" w:cs="Times New Roman"/>
          <w:sz w:val="34"/>
          <w:szCs w:val="36"/>
        </w:rPr>
        <w:fldChar w:fldCharType="end"/>
      </w:r>
      <w:r>
        <w:rPr>
          <w:rFonts w:ascii="Times New Roman" w:hAnsi="Times New Roman" w:cs="Times New Roman"/>
          <w:sz w:val="34"/>
          <w:szCs w:val="36"/>
        </w:rPr>
        <w:fldChar w:fldCharType="end"/>
      </w:r>
    </w:p>
    <w:p>
      <w:pPr>
        <w:pStyle w:val="10"/>
        <w:tabs>
          <w:tab w:val="right" w:leader="dot" w:pos="8948"/>
        </w:tabs>
        <w:ind w:firstLine="0" w:firstLineChars="0"/>
        <w:rPr>
          <w:rFonts w:ascii="Times New Roman" w:hAnsi="Times New Roman" w:cs="Times New Roman"/>
          <w:b/>
          <w:sz w:val="34"/>
          <w:szCs w:val="36"/>
        </w:rPr>
      </w:pPr>
      <w:r>
        <w:fldChar w:fldCharType="begin"/>
      </w:r>
      <w:r>
        <w:instrText xml:space="preserve"> HYPERLINK \l "_Toc119179954" </w:instrText>
      </w:r>
      <w:r>
        <w:fldChar w:fldCharType="separate"/>
      </w:r>
      <w:r>
        <w:rPr>
          <w:rStyle w:val="16"/>
          <w:rFonts w:ascii="Times New Roman" w:hAnsi="Times New Roman" w:cs="Times New Roman"/>
          <w:b/>
          <w:sz w:val="34"/>
          <w:szCs w:val="36"/>
        </w:rPr>
        <w:t>三、主要任务</w:t>
      </w:r>
      <w:r>
        <w:rPr>
          <w:rFonts w:ascii="Times New Roman" w:hAnsi="Times New Roman" w:cs="Times New Roman"/>
          <w:b/>
          <w:sz w:val="34"/>
          <w:szCs w:val="36"/>
        </w:rPr>
        <w:tab/>
      </w:r>
      <w:r>
        <w:rPr>
          <w:rFonts w:ascii="Times New Roman" w:hAnsi="Times New Roman" w:cs="Times New Roman"/>
          <w:b/>
          <w:sz w:val="34"/>
          <w:szCs w:val="36"/>
        </w:rPr>
        <w:fldChar w:fldCharType="begin"/>
      </w:r>
      <w:r>
        <w:rPr>
          <w:rFonts w:ascii="Times New Roman" w:hAnsi="Times New Roman" w:cs="Times New Roman"/>
          <w:b/>
          <w:sz w:val="34"/>
          <w:szCs w:val="36"/>
        </w:rPr>
        <w:instrText xml:space="preserve"> PAGEREF _Toc119179954 \h </w:instrText>
      </w:r>
      <w:r>
        <w:rPr>
          <w:rFonts w:ascii="Times New Roman" w:hAnsi="Times New Roman" w:cs="Times New Roman"/>
          <w:b/>
          <w:sz w:val="34"/>
          <w:szCs w:val="36"/>
        </w:rPr>
        <w:fldChar w:fldCharType="separate"/>
      </w:r>
      <w:r>
        <w:rPr>
          <w:rFonts w:ascii="Times New Roman" w:hAnsi="Times New Roman" w:cs="Times New Roman"/>
          <w:b/>
          <w:sz w:val="34"/>
          <w:szCs w:val="36"/>
        </w:rPr>
        <w:t>9</w:t>
      </w:r>
      <w:r>
        <w:rPr>
          <w:rFonts w:ascii="Times New Roman" w:hAnsi="Times New Roman" w:cs="Times New Roman"/>
          <w:b/>
          <w:sz w:val="34"/>
          <w:szCs w:val="36"/>
        </w:rPr>
        <w:fldChar w:fldCharType="end"/>
      </w:r>
      <w:r>
        <w:rPr>
          <w:rFonts w:ascii="Times New Roman" w:hAnsi="Times New Roman" w:cs="Times New Roman"/>
          <w:b/>
          <w:sz w:val="34"/>
          <w:szCs w:val="36"/>
        </w:rPr>
        <w:fldChar w:fldCharType="end"/>
      </w:r>
    </w:p>
    <w:p>
      <w:pPr>
        <w:pStyle w:val="11"/>
        <w:tabs>
          <w:tab w:val="right" w:leader="dot" w:pos="8948"/>
        </w:tabs>
        <w:ind w:left="0" w:leftChars="0" w:firstLine="680" w:firstLineChars="0"/>
        <w:rPr>
          <w:rFonts w:ascii="Times New Roman" w:hAnsi="Times New Roman" w:cs="Times New Roman"/>
          <w:sz w:val="34"/>
          <w:szCs w:val="36"/>
        </w:rPr>
      </w:pPr>
      <w:r>
        <w:fldChar w:fldCharType="begin"/>
      </w:r>
      <w:r>
        <w:instrText xml:space="preserve"> HYPERLINK \l "_Toc119179955" </w:instrText>
      </w:r>
      <w:r>
        <w:fldChar w:fldCharType="separate"/>
      </w:r>
      <w:r>
        <w:rPr>
          <w:rStyle w:val="16"/>
          <w:rFonts w:ascii="Times New Roman" w:hAnsi="Times New Roman" w:cs="Times New Roman"/>
          <w:sz w:val="34"/>
          <w:szCs w:val="36"/>
        </w:rPr>
        <w:t>（一）构建优质高效公共卫生服务体系</w:t>
      </w:r>
      <w:r>
        <w:rPr>
          <w:rFonts w:ascii="Times New Roman" w:hAnsi="Times New Roman" w:cs="Times New Roman"/>
          <w:sz w:val="34"/>
          <w:szCs w:val="36"/>
        </w:rPr>
        <w:tab/>
      </w:r>
      <w:r>
        <w:rPr>
          <w:rFonts w:ascii="Times New Roman" w:hAnsi="Times New Roman" w:cs="Times New Roman"/>
          <w:sz w:val="34"/>
          <w:szCs w:val="36"/>
        </w:rPr>
        <w:fldChar w:fldCharType="begin"/>
      </w:r>
      <w:r>
        <w:rPr>
          <w:rFonts w:ascii="Times New Roman" w:hAnsi="Times New Roman" w:cs="Times New Roman"/>
          <w:sz w:val="34"/>
          <w:szCs w:val="36"/>
        </w:rPr>
        <w:instrText xml:space="preserve"> PAGEREF _Toc119179955 \h </w:instrText>
      </w:r>
      <w:r>
        <w:rPr>
          <w:rFonts w:ascii="Times New Roman" w:hAnsi="Times New Roman" w:cs="Times New Roman"/>
          <w:sz w:val="34"/>
          <w:szCs w:val="36"/>
        </w:rPr>
        <w:fldChar w:fldCharType="separate"/>
      </w:r>
      <w:r>
        <w:rPr>
          <w:rFonts w:ascii="Times New Roman" w:hAnsi="Times New Roman" w:cs="Times New Roman"/>
          <w:sz w:val="34"/>
          <w:szCs w:val="36"/>
        </w:rPr>
        <w:t>9</w:t>
      </w:r>
      <w:r>
        <w:rPr>
          <w:rFonts w:ascii="Times New Roman" w:hAnsi="Times New Roman" w:cs="Times New Roman"/>
          <w:sz w:val="34"/>
          <w:szCs w:val="36"/>
        </w:rPr>
        <w:fldChar w:fldCharType="end"/>
      </w:r>
      <w:r>
        <w:rPr>
          <w:rFonts w:ascii="Times New Roman" w:hAnsi="Times New Roman" w:cs="Times New Roman"/>
          <w:sz w:val="34"/>
          <w:szCs w:val="36"/>
        </w:rPr>
        <w:fldChar w:fldCharType="end"/>
      </w:r>
    </w:p>
    <w:p>
      <w:pPr>
        <w:pStyle w:val="11"/>
        <w:tabs>
          <w:tab w:val="right" w:leader="dot" w:pos="8948"/>
        </w:tabs>
        <w:ind w:left="0" w:leftChars="0" w:firstLine="680" w:firstLineChars="0"/>
        <w:rPr>
          <w:rFonts w:ascii="Times New Roman" w:hAnsi="Times New Roman" w:cs="Times New Roman"/>
          <w:sz w:val="34"/>
          <w:szCs w:val="36"/>
        </w:rPr>
      </w:pPr>
      <w:r>
        <w:fldChar w:fldCharType="begin"/>
      </w:r>
      <w:r>
        <w:instrText xml:space="preserve"> HYPERLINK \l "_Toc119179964" </w:instrText>
      </w:r>
      <w:r>
        <w:fldChar w:fldCharType="separate"/>
      </w:r>
      <w:r>
        <w:rPr>
          <w:rStyle w:val="16"/>
          <w:rFonts w:ascii="Times New Roman" w:hAnsi="Times New Roman" w:cs="Times New Roman"/>
          <w:sz w:val="34"/>
          <w:szCs w:val="36"/>
        </w:rPr>
        <w:t>（二）健全完善公共卫生应急管理体系</w:t>
      </w:r>
      <w:r>
        <w:rPr>
          <w:rFonts w:ascii="Times New Roman" w:hAnsi="Times New Roman" w:cs="Times New Roman"/>
          <w:sz w:val="34"/>
          <w:szCs w:val="36"/>
        </w:rPr>
        <w:tab/>
      </w:r>
      <w:r>
        <w:rPr>
          <w:rFonts w:ascii="Times New Roman" w:hAnsi="Times New Roman" w:cs="Times New Roman"/>
          <w:sz w:val="34"/>
          <w:szCs w:val="36"/>
        </w:rPr>
        <w:fldChar w:fldCharType="begin"/>
      </w:r>
      <w:r>
        <w:rPr>
          <w:rFonts w:ascii="Times New Roman" w:hAnsi="Times New Roman" w:cs="Times New Roman"/>
          <w:sz w:val="34"/>
          <w:szCs w:val="36"/>
        </w:rPr>
        <w:instrText xml:space="preserve"> PAGEREF _Toc119179964 \h </w:instrText>
      </w:r>
      <w:r>
        <w:rPr>
          <w:rFonts w:ascii="Times New Roman" w:hAnsi="Times New Roman" w:cs="Times New Roman"/>
          <w:sz w:val="34"/>
          <w:szCs w:val="36"/>
        </w:rPr>
        <w:fldChar w:fldCharType="separate"/>
      </w:r>
      <w:r>
        <w:rPr>
          <w:rFonts w:ascii="Times New Roman" w:hAnsi="Times New Roman" w:cs="Times New Roman"/>
          <w:sz w:val="34"/>
          <w:szCs w:val="36"/>
        </w:rPr>
        <w:t>14</w:t>
      </w:r>
      <w:r>
        <w:rPr>
          <w:rFonts w:ascii="Times New Roman" w:hAnsi="Times New Roman" w:cs="Times New Roman"/>
          <w:sz w:val="34"/>
          <w:szCs w:val="36"/>
        </w:rPr>
        <w:fldChar w:fldCharType="end"/>
      </w:r>
      <w:r>
        <w:rPr>
          <w:rFonts w:ascii="Times New Roman" w:hAnsi="Times New Roman" w:cs="Times New Roman"/>
          <w:sz w:val="34"/>
          <w:szCs w:val="36"/>
        </w:rPr>
        <w:fldChar w:fldCharType="end"/>
      </w:r>
    </w:p>
    <w:p>
      <w:pPr>
        <w:pStyle w:val="11"/>
        <w:tabs>
          <w:tab w:val="right" w:leader="dot" w:pos="8948"/>
        </w:tabs>
        <w:ind w:left="0" w:leftChars="0" w:firstLine="680" w:firstLineChars="0"/>
        <w:rPr>
          <w:rFonts w:ascii="Times New Roman" w:hAnsi="Times New Roman" w:cs="Times New Roman"/>
          <w:sz w:val="34"/>
          <w:szCs w:val="36"/>
        </w:rPr>
      </w:pPr>
      <w:r>
        <w:fldChar w:fldCharType="begin"/>
      </w:r>
      <w:r>
        <w:instrText xml:space="preserve"> HYPERLINK \l "_Toc119179970" </w:instrText>
      </w:r>
      <w:r>
        <w:fldChar w:fldCharType="separate"/>
      </w:r>
      <w:r>
        <w:rPr>
          <w:rStyle w:val="16"/>
          <w:rFonts w:ascii="Times New Roman" w:hAnsi="Times New Roman" w:cs="Times New Roman"/>
          <w:sz w:val="34"/>
          <w:szCs w:val="36"/>
        </w:rPr>
        <w:t>（三）构建高质量医疗卫生服务体系</w:t>
      </w:r>
      <w:r>
        <w:rPr>
          <w:rFonts w:ascii="Times New Roman" w:hAnsi="Times New Roman" w:cs="Times New Roman"/>
          <w:sz w:val="34"/>
          <w:szCs w:val="36"/>
        </w:rPr>
        <w:tab/>
      </w:r>
      <w:r>
        <w:rPr>
          <w:rFonts w:ascii="Times New Roman" w:hAnsi="Times New Roman" w:cs="Times New Roman"/>
          <w:sz w:val="34"/>
          <w:szCs w:val="36"/>
        </w:rPr>
        <w:fldChar w:fldCharType="begin"/>
      </w:r>
      <w:r>
        <w:rPr>
          <w:rFonts w:ascii="Times New Roman" w:hAnsi="Times New Roman" w:cs="Times New Roman"/>
          <w:sz w:val="34"/>
          <w:szCs w:val="36"/>
        </w:rPr>
        <w:instrText xml:space="preserve"> PAGEREF _Toc119179970 \h </w:instrText>
      </w:r>
      <w:r>
        <w:rPr>
          <w:rFonts w:ascii="Times New Roman" w:hAnsi="Times New Roman" w:cs="Times New Roman"/>
          <w:sz w:val="34"/>
          <w:szCs w:val="36"/>
        </w:rPr>
        <w:fldChar w:fldCharType="separate"/>
      </w:r>
      <w:r>
        <w:rPr>
          <w:rFonts w:ascii="Times New Roman" w:hAnsi="Times New Roman" w:cs="Times New Roman"/>
          <w:sz w:val="34"/>
          <w:szCs w:val="36"/>
        </w:rPr>
        <w:t>18</w:t>
      </w:r>
      <w:r>
        <w:rPr>
          <w:rFonts w:ascii="Times New Roman" w:hAnsi="Times New Roman" w:cs="Times New Roman"/>
          <w:sz w:val="34"/>
          <w:szCs w:val="36"/>
        </w:rPr>
        <w:fldChar w:fldCharType="end"/>
      </w:r>
      <w:r>
        <w:rPr>
          <w:rFonts w:ascii="Times New Roman" w:hAnsi="Times New Roman" w:cs="Times New Roman"/>
          <w:sz w:val="34"/>
          <w:szCs w:val="36"/>
        </w:rPr>
        <w:fldChar w:fldCharType="end"/>
      </w:r>
    </w:p>
    <w:p>
      <w:pPr>
        <w:pStyle w:val="11"/>
        <w:tabs>
          <w:tab w:val="right" w:leader="dot" w:pos="8948"/>
        </w:tabs>
        <w:ind w:left="0" w:leftChars="0" w:firstLine="680" w:firstLineChars="0"/>
        <w:rPr>
          <w:rFonts w:ascii="Times New Roman" w:hAnsi="Times New Roman" w:cs="Times New Roman"/>
          <w:sz w:val="34"/>
          <w:szCs w:val="36"/>
        </w:rPr>
      </w:pPr>
      <w:r>
        <w:fldChar w:fldCharType="begin"/>
      </w:r>
      <w:r>
        <w:instrText xml:space="preserve"> HYPERLINK \l "_Toc119179977" </w:instrText>
      </w:r>
      <w:r>
        <w:fldChar w:fldCharType="separate"/>
      </w:r>
      <w:r>
        <w:rPr>
          <w:rStyle w:val="16"/>
          <w:rFonts w:ascii="Times New Roman" w:hAnsi="Times New Roman" w:cs="Times New Roman"/>
          <w:sz w:val="34"/>
          <w:szCs w:val="36"/>
        </w:rPr>
        <w:t>（四）构建中医药（蒙医药）传承创新发展体系</w:t>
      </w:r>
      <w:r>
        <w:rPr>
          <w:rFonts w:ascii="Times New Roman" w:hAnsi="Times New Roman" w:cs="Times New Roman"/>
          <w:sz w:val="34"/>
          <w:szCs w:val="36"/>
        </w:rPr>
        <w:tab/>
      </w:r>
      <w:r>
        <w:rPr>
          <w:rFonts w:ascii="Times New Roman" w:hAnsi="Times New Roman" w:cs="Times New Roman"/>
          <w:sz w:val="34"/>
          <w:szCs w:val="36"/>
        </w:rPr>
        <w:fldChar w:fldCharType="begin"/>
      </w:r>
      <w:r>
        <w:rPr>
          <w:rFonts w:ascii="Times New Roman" w:hAnsi="Times New Roman" w:cs="Times New Roman"/>
          <w:sz w:val="34"/>
          <w:szCs w:val="36"/>
        </w:rPr>
        <w:instrText xml:space="preserve"> PAGEREF _Toc119179977 \h </w:instrText>
      </w:r>
      <w:r>
        <w:rPr>
          <w:rFonts w:ascii="Times New Roman" w:hAnsi="Times New Roman" w:cs="Times New Roman"/>
          <w:sz w:val="34"/>
          <w:szCs w:val="36"/>
        </w:rPr>
        <w:fldChar w:fldCharType="separate"/>
      </w:r>
      <w:r>
        <w:rPr>
          <w:rFonts w:ascii="Times New Roman" w:hAnsi="Times New Roman" w:cs="Times New Roman"/>
          <w:sz w:val="34"/>
          <w:szCs w:val="36"/>
        </w:rPr>
        <w:t>22</w:t>
      </w:r>
      <w:r>
        <w:rPr>
          <w:rFonts w:ascii="Times New Roman" w:hAnsi="Times New Roman" w:cs="Times New Roman"/>
          <w:sz w:val="34"/>
          <w:szCs w:val="36"/>
        </w:rPr>
        <w:fldChar w:fldCharType="end"/>
      </w:r>
      <w:r>
        <w:rPr>
          <w:rFonts w:ascii="Times New Roman" w:hAnsi="Times New Roman" w:cs="Times New Roman"/>
          <w:sz w:val="34"/>
          <w:szCs w:val="36"/>
        </w:rPr>
        <w:fldChar w:fldCharType="end"/>
      </w:r>
    </w:p>
    <w:p>
      <w:pPr>
        <w:pStyle w:val="11"/>
        <w:tabs>
          <w:tab w:val="right" w:leader="dot" w:pos="8948"/>
        </w:tabs>
        <w:ind w:left="0" w:leftChars="0" w:firstLine="680" w:firstLineChars="0"/>
        <w:rPr>
          <w:rFonts w:ascii="Times New Roman" w:hAnsi="Times New Roman" w:cs="Times New Roman"/>
          <w:sz w:val="34"/>
          <w:szCs w:val="36"/>
        </w:rPr>
      </w:pPr>
      <w:r>
        <w:fldChar w:fldCharType="begin"/>
      </w:r>
      <w:r>
        <w:instrText xml:space="preserve"> HYPERLINK \l "_Toc119179981" </w:instrText>
      </w:r>
      <w:r>
        <w:fldChar w:fldCharType="separate"/>
      </w:r>
      <w:r>
        <w:rPr>
          <w:rStyle w:val="16"/>
          <w:rFonts w:ascii="Times New Roman" w:hAnsi="Times New Roman" w:cs="Times New Roman"/>
          <w:sz w:val="34"/>
          <w:szCs w:val="36"/>
        </w:rPr>
        <w:t>（五）构建全生命周期健康服务体系</w:t>
      </w:r>
      <w:r>
        <w:rPr>
          <w:rFonts w:ascii="Times New Roman" w:hAnsi="Times New Roman" w:cs="Times New Roman"/>
          <w:sz w:val="34"/>
          <w:szCs w:val="36"/>
        </w:rPr>
        <w:tab/>
      </w:r>
      <w:r>
        <w:rPr>
          <w:rFonts w:ascii="Times New Roman" w:hAnsi="Times New Roman" w:cs="Times New Roman"/>
          <w:sz w:val="34"/>
          <w:szCs w:val="36"/>
        </w:rPr>
        <w:fldChar w:fldCharType="begin"/>
      </w:r>
      <w:r>
        <w:rPr>
          <w:rFonts w:ascii="Times New Roman" w:hAnsi="Times New Roman" w:cs="Times New Roman"/>
          <w:sz w:val="34"/>
          <w:szCs w:val="36"/>
        </w:rPr>
        <w:instrText xml:space="preserve"> PAGEREF _Toc119179981 \h </w:instrText>
      </w:r>
      <w:r>
        <w:rPr>
          <w:rFonts w:ascii="Times New Roman" w:hAnsi="Times New Roman" w:cs="Times New Roman"/>
          <w:sz w:val="34"/>
          <w:szCs w:val="36"/>
        </w:rPr>
        <w:fldChar w:fldCharType="separate"/>
      </w:r>
      <w:r>
        <w:rPr>
          <w:rFonts w:ascii="Times New Roman" w:hAnsi="Times New Roman" w:cs="Times New Roman"/>
          <w:sz w:val="34"/>
          <w:szCs w:val="36"/>
        </w:rPr>
        <w:t>23</w:t>
      </w:r>
      <w:r>
        <w:rPr>
          <w:rFonts w:ascii="Times New Roman" w:hAnsi="Times New Roman" w:cs="Times New Roman"/>
          <w:sz w:val="34"/>
          <w:szCs w:val="36"/>
        </w:rPr>
        <w:fldChar w:fldCharType="end"/>
      </w:r>
      <w:r>
        <w:rPr>
          <w:rFonts w:ascii="Times New Roman" w:hAnsi="Times New Roman" w:cs="Times New Roman"/>
          <w:sz w:val="34"/>
          <w:szCs w:val="36"/>
        </w:rPr>
        <w:fldChar w:fldCharType="end"/>
      </w:r>
    </w:p>
    <w:p>
      <w:pPr>
        <w:pStyle w:val="11"/>
        <w:tabs>
          <w:tab w:val="right" w:leader="dot" w:pos="8948"/>
        </w:tabs>
        <w:ind w:left="0" w:leftChars="0" w:firstLine="680" w:firstLineChars="0"/>
        <w:rPr>
          <w:rFonts w:ascii="Times New Roman" w:hAnsi="Times New Roman" w:cs="Times New Roman"/>
          <w:sz w:val="34"/>
          <w:szCs w:val="36"/>
        </w:rPr>
      </w:pPr>
      <w:r>
        <w:fldChar w:fldCharType="begin"/>
      </w:r>
      <w:r>
        <w:instrText xml:space="preserve"> HYPERLINK \l "_Toc119179992" </w:instrText>
      </w:r>
      <w:r>
        <w:fldChar w:fldCharType="separate"/>
      </w:r>
      <w:r>
        <w:rPr>
          <w:rStyle w:val="16"/>
          <w:rFonts w:ascii="Times New Roman" w:hAnsi="Times New Roman" w:cs="Times New Roman"/>
          <w:sz w:val="34"/>
          <w:szCs w:val="36"/>
        </w:rPr>
        <w:t>（六）构建卫生健康综合保障支撑体系</w:t>
      </w:r>
      <w:r>
        <w:rPr>
          <w:rFonts w:ascii="Times New Roman" w:hAnsi="Times New Roman" w:cs="Times New Roman"/>
          <w:sz w:val="34"/>
          <w:szCs w:val="36"/>
        </w:rPr>
        <w:tab/>
      </w:r>
      <w:r>
        <w:rPr>
          <w:rFonts w:ascii="Times New Roman" w:hAnsi="Times New Roman" w:cs="Times New Roman"/>
          <w:sz w:val="34"/>
          <w:szCs w:val="36"/>
        </w:rPr>
        <w:fldChar w:fldCharType="begin"/>
      </w:r>
      <w:r>
        <w:rPr>
          <w:rFonts w:ascii="Times New Roman" w:hAnsi="Times New Roman" w:cs="Times New Roman"/>
          <w:sz w:val="34"/>
          <w:szCs w:val="36"/>
        </w:rPr>
        <w:instrText xml:space="preserve"> PAGEREF _Toc119179992 \h </w:instrText>
      </w:r>
      <w:r>
        <w:rPr>
          <w:rFonts w:ascii="Times New Roman" w:hAnsi="Times New Roman" w:cs="Times New Roman"/>
          <w:sz w:val="34"/>
          <w:szCs w:val="36"/>
        </w:rPr>
        <w:fldChar w:fldCharType="separate"/>
      </w:r>
      <w:r>
        <w:rPr>
          <w:rFonts w:ascii="Times New Roman" w:hAnsi="Times New Roman" w:cs="Times New Roman"/>
          <w:sz w:val="34"/>
          <w:szCs w:val="36"/>
        </w:rPr>
        <w:t>30</w:t>
      </w:r>
      <w:r>
        <w:rPr>
          <w:rFonts w:ascii="Times New Roman" w:hAnsi="Times New Roman" w:cs="Times New Roman"/>
          <w:sz w:val="34"/>
          <w:szCs w:val="36"/>
        </w:rPr>
        <w:fldChar w:fldCharType="end"/>
      </w:r>
      <w:r>
        <w:rPr>
          <w:rFonts w:ascii="Times New Roman" w:hAnsi="Times New Roman" w:cs="Times New Roman"/>
          <w:sz w:val="34"/>
          <w:szCs w:val="36"/>
        </w:rPr>
        <w:fldChar w:fldCharType="end"/>
      </w:r>
    </w:p>
    <w:p>
      <w:pPr>
        <w:pStyle w:val="11"/>
        <w:tabs>
          <w:tab w:val="right" w:leader="dot" w:pos="8948"/>
        </w:tabs>
        <w:ind w:left="0" w:leftChars="0" w:firstLine="680" w:firstLineChars="0"/>
        <w:rPr>
          <w:rFonts w:ascii="Times New Roman" w:hAnsi="Times New Roman" w:cs="Times New Roman"/>
          <w:sz w:val="34"/>
          <w:szCs w:val="36"/>
        </w:rPr>
      </w:pPr>
      <w:r>
        <w:fldChar w:fldCharType="begin"/>
      </w:r>
      <w:r>
        <w:instrText xml:space="preserve"> HYPERLINK \l "_Toc119179997" </w:instrText>
      </w:r>
      <w:r>
        <w:fldChar w:fldCharType="separate"/>
      </w:r>
      <w:r>
        <w:rPr>
          <w:rStyle w:val="16"/>
          <w:rFonts w:ascii="Times New Roman" w:hAnsi="Times New Roman" w:cs="Times New Roman"/>
          <w:sz w:val="34"/>
          <w:szCs w:val="36"/>
        </w:rPr>
        <w:t>（七）深化医药卫生体制改革</w:t>
      </w:r>
      <w:r>
        <w:rPr>
          <w:rFonts w:ascii="Times New Roman" w:hAnsi="Times New Roman" w:cs="Times New Roman"/>
          <w:sz w:val="34"/>
          <w:szCs w:val="36"/>
        </w:rPr>
        <w:tab/>
      </w:r>
      <w:r>
        <w:rPr>
          <w:rFonts w:ascii="Times New Roman" w:hAnsi="Times New Roman" w:cs="Times New Roman"/>
          <w:sz w:val="34"/>
          <w:szCs w:val="36"/>
        </w:rPr>
        <w:fldChar w:fldCharType="begin"/>
      </w:r>
      <w:r>
        <w:rPr>
          <w:rFonts w:ascii="Times New Roman" w:hAnsi="Times New Roman" w:cs="Times New Roman"/>
          <w:sz w:val="34"/>
          <w:szCs w:val="36"/>
        </w:rPr>
        <w:instrText xml:space="preserve"> PAGEREF _Toc119179997 \h </w:instrText>
      </w:r>
      <w:r>
        <w:rPr>
          <w:rFonts w:ascii="Times New Roman" w:hAnsi="Times New Roman" w:cs="Times New Roman"/>
          <w:sz w:val="34"/>
          <w:szCs w:val="36"/>
        </w:rPr>
        <w:fldChar w:fldCharType="separate"/>
      </w:r>
      <w:r>
        <w:rPr>
          <w:rFonts w:ascii="Times New Roman" w:hAnsi="Times New Roman" w:cs="Times New Roman"/>
          <w:sz w:val="34"/>
          <w:szCs w:val="36"/>
        </w:rPr>
        <w:t>33</w:t>
      </w:r>
      <w:r>
        <w:rPr>
          <w:rFonts w:ascii="Times New Roman" w:hAnsi="Times New Roman" w:cs="Times New Roman"/>
          <w:sz w:val="34"/>
          <w:szCs w:val="36"/>
        </w:rPr>
        <w:fldChar w:fldCharType="end"/>
      </w:r>
      <w:r>
        <w:rPr>
          <w:rFonts w:ascii="Times New Roman" w:hAnsi="Times New Roman" w:cs="Times New Roman"/>
          <w:sz w:val="34"/>
          <w:szCs w:val="36"/>
        </w:rPr>
        <w:fldChar w:fldCharType="end"/>
      </w:r>
    </w:p>
    <w:p>
      <w:pPr>
        <w:pStyle w:val="11"/>
        <w:tabs>
          <w:tab w:val="right" w:leader="dot" w:pos="8948"/>
        </w:tabs>
        <w:ind w:left="0" w:leftChars="0" w:firstLine="680" w:firstLineChars="0"/>
        <w:rPr>
          <w:rFonts w:ascii="Times New Roman" w:hAnsi="Times New Roman" w:cs="Times New Roman"/>
          <w:sz w:val="34"/>
          <w:szCs w:val="36"/>
        </w:rPr>
      </w:pPr>
      <w:r>
        <w:fldChar w:fldCharType="begin"/>
      </w:r>
      <w:r>
        <w:instrText xml:space="preserve"> HYPERLINK \l "_Toc119180003" </w:instrText>
      </w:r>
      <w:r>
        <w:fldChar w:fldCharType="separate"/>
      </w:r>
      <w:r>
        <w:rPr>
          <w:rStyle w:val="16"/>
          <w:rFonts w:ascii="Times New Roman" w:hAnsi="Times New Roman" w:cs="Times New Roman"/>
          <w:sz w:val="34"/>
          <w:szCs w:val="36"/>
        </w:rPr>
        <w:t>（八）统筹推进行业党建和医德行风建设</w:t>
      </w:r>
      <w:r>
        <w:rPr>
          <w:rFonts w:ascii="Times New Roman" w:hAnsi="Times New Roman" w:cs="Times New Roman"/>
          <w:sz w:val="34"/>
          <w:szCs w:val="36"/>
        </w:rPr>
        <w:tab/>
      </w:r>
      <w:r>
        <w:rPr>
          <w:rFonts w:ascii="Times New Roman" w:hAnsi="Times New Roman" w:cs="Times New Roman"/>
          <w:sz w:val="34"/>
          <w:szCs w:val="36"/>
        </w:rPr>
        <w:fldChar w:fldCharType="begin"/>
      </w:r>
      <w:r>
        <w:rPr>
          <w:rFonts w:ascii="Times New Roman" w:hAnsi="Times New Roman" w:cs="Times New Roman"/>
          <w:sz w:val="34"/>
          <w:szCs w:val="36"/>
        </w:rPr>
        <w:instrText xml:space="preserve"> PAGEREF _Toc119180003 \h </w:instrText>
      </w:r>
      <w:r>
        <w:rPr>
          <w:rFonts w:ascii="Times New Roman" w:hAnsi="Times New Roman" w:cs="Times New Roman"/>
          <w:sz w:val="34"/>
          <w:szCs w:val="36"/>
        </w:rPr>
        <w:fldChar w:fldCharType="separate"/>
      </w:r>
      <w:r>
        <w:rPr>
          <w:rFonts w:ascii="Times New Roman" w:hAnsi="Times New Roman" w:cs="Times New Roman"/>
          <w:sz w:val="34"/>
          <w:szCs w:val="36"/>
        </w:rPr>
        <w:t>36</w:t>
      </w:r>
      <w:r>
        <w:rPr>
          <w:rFonts w:ascii="Times New Roman" w:hAnsi="Times New Roman" w:cs="Times New Roman"/>
          <w:sz w:val="34"/>
          <w:szCs w:val="36"/>
        </w:rPr>
        <w:fldChar w:fldCharType="end"/>
      </w:r>
      <w:r>
        <w:rPr>
          <w:rFonts w:ascii="Times New Roman" w:hAnsi="Times New Roman" w:cs="Times New Roman"/>
          <w:sz w:val="34"/>
          <w:szCs w:val="36"/>
        </w:rPr>
        <w:fldChar w:fldCharType="end"/>
      </w:r>
    </w:p>
    <w:p>
      <w:pPr>
        <w:pStyle w:val="10"/>
        <w:tabs>
          <w:tab w:val="right" w:leader="dot" w:pos="8948"/>
        </w:tabs>
        <w:ind w:firstLine="0" w:firstLineChars="0"/>
        <w:rPr>
          <w:rFonts w:ascii="Times New Roman" w:hAnsi="Times New Roman" w:cs="Times New Roman"/>
          <w:b/>
          <w:sz w:val="34"/>
          <w:szCs w:val="36"/>
        </w:rPr>
      </w:pPr>
      <w:r>
        <w:fldChar w:fldCharType="begin"/>
      </w:r>
      <w:r>
        <w:instrText xml:space="preserve"> HYPERLINK \l "_Toc119180007" </w:instrText>
      </w:r>
      <w:r>
        <w:fldChar w:fldCharType="separate"/>
      </w:r>
      <w:r>
        <w:rPr>
          <w:rStyle w:val="16"/>
          <w:rFonts w:ascii="Times New Roman" w:hAnsi="Times New Roman" w:cs="Times New Roman"/>
          <w:b/>
          <w:sz w:val="34"/>
          <w:szCs w:val="36"/>
        </w:rPr>
        <w:t>四、保障措施</w:t>
      </w:r>
      <w:r>
        <w:rPr>
          <w:rFonts w:ascii="Times New Roman" w:hAnsi="Times New Roman" w:cs="Times New Roman"/>
          <w:b/>
          <w:sz w:val="34"/>
          <w:szCs w:val="36"/>
        </w:rPr>
        <w:tab/>
      </w:r>
      <w:r>
        <w:rPr>
          <w:rFonts w:ascii="Times New Roman" w:hAnsi="Times New Roman" w:cs="Times New Roman"/>
          <w:b/>
          <w:sz w:val="34"/>
          <w:szCs w:val="36"/>
        </w:rPr>
        <w:fldChar w:fldCharType="begin"/>
      </w:r>
      <w:r>
        <w:rPr>
          <w:rFonts w:ascii="Times New Roman" w:hAnsi="Times New Roman" w:cs="Times New Roman"/>
          <w:b/>
          <w:sz w:val="34"/>
          <w:szCs w:val="36"/>
        </w:rPr>
        <w:instrText xml:space="preserve"> PAGEREF _Toc119180007 \h </w:instrText>
      </w:r>
      <w:r>
        <w:rPr>
          <w:rFonts w:ascii="Times New Roman" w:hAnsi="Times New Roman" w:cs="Times New Roman"/>
          <w:b/>
          <w:sz w:val="34"/>
          <w:szCs w:val="36"/>
        </w:rPr>
        <w:fldChar w:fldCharType="separate"/>
      </w:r>
      <w:r>
        <w:rPr>
          <w:rFonts w:ascii="Times New Roman" w:hAnsi="Times New Roman" w:cs="Times New Roman"/>
          <w:b/>
          <w:sz w:val="34"/>
          <w:szCs w:val="36"/>
        </w:rPr>
        <w:t>38</w:t>
      </w:r>
      <w:r>
        <w:rPr>
          <w:rFonts w:ascii="Times New Roman" w:hAnsi="Times New Roman" w:cs="Times New Roman"/>
          <w:b/>
          <w:sz w:val="34"/>
          <w:szCs w:val="36"/>
        </w:rPr>
        <w:fldChar w:fldCharType="end"/>
      </w:r>
      <w:r>
        <w:rPr>
          <w:rFonts w:ascii="Times New Roman" w:hAnsi="Times New Roman" w:cs="Times New Roman"/>
          <w:b/>
          <w:sz w:val="34"/>
          <w:szCs w:val="36"/>
        </w:rPr>
        <w:fldChar w:fldCharType="end"/>
      </w:r>
    </w:p>
    <w:p>
      <w:pPr>
        <w:pStyle w:val="11"/>
        <w:tabs>
          <w:tab w:val="right" w:leader="dot" w:pos="8948"/>
        </w:tabs>
        <w:ind w:left="0" w:leftChars="0" w:firstLine="680" w:firstLineChars="0"/>
        <w:rPr>
          <w:rFonts w:ascii="Times New Roman" w:hAnsi="Times New Roman" w:cs="Times New Roman"/>
          <w:sz w:val="34"/>
          <w:szCs w:val="36"/>
        </w:rPr>
      </w:pPr>
      <w:r>
        <w:fldChar w:fldCharType="begin"/>
      </w:r>
      <w:r>
        <w:instrText xml:space="preserve"> HYPERLINK \l "_Toc119180008" </w:instrText>
      </w:r>
      <w:r>
        <w:fldChar w:fldCharType="separate"/>
      </w:r>
      <w:r>
        <w:rPr>
          <w:rStyle w:val="16"/>
          <w:rFonts w:ascii="Times New Roman" w:hAnsi="Times New Roman" w:cs="Times New Roman"/>
          <w:sz w:val="34"/>
          <w:szCs w:val="36"/>
        </w:rPr>
        <w:t>（一）强化组织领导</w:t>
      </w:r>
      <w:r>
        <w:rPr>
          <w:rFonts w:ascii="Times New Roman" w:hAnsi="Times New Roman" w:cs="Times New Roman"/>
          <w:sz w:val="34"/>
          <w:szCs w:val="36"/>
        </w:rPr>
        <w:tab/>
      </w:r>
      <w:r>
        <w:rPr>
          <w:rFonts w:ascii="Times New Roman" w:hAnsi="Times New Roman" w:cs="Times New Roman"/>
          <w:sz w:val="34"/>
          <w:szCs w:val="36"/>
        </w:rPr>
        <w:fldChar w:fldCharType="begin"/>
      </w:r>
      <w:r>
        <w:rPr>
          <w:rFonts w:ascii="Times New Roman" w:hAnsi="Times New Roman" w:cs="Times New Roman"/>
          <w:sz w:val="34"/>
          <w:szCs w:val="36"/>
        </w:rPr>
        <w:instrText xml:space="preserve"> PAGEREF _Toc119180008 \h </w:instrText>
      </w:r>
      <w:r>
        <w:rPr>
          <w:rFonts w:ascii="Times New Roman" w:hAnsi="Times New Roman" w:cs="Times New Roman"/>
          <w:sz w:val="34"/>
          <w:szCs w:val="36"/>
        </w:rPr>
        <w:fldChar w:fldCharType="separate"/>
      </w:r>
      <w:r>
        <w:rPr>
          <w:rFonts w:ascii="Times New Roman" w:hAnsi="Times New Roman" w:cs="Times New Roman"/>
          <w:sz w:val="34"/>
          <w:szCs w:val="36"/>
        </w:rPr>
        <w:t>38</w:t>
      </w:r>
      <w:r>
        <w:rPr>
          <w:rFonts w:ascii="Times New Roman" w:hAnsi="Times New Roman" w:cs="Times New Roman"/>
          <w:sz w:val="34"/>
          <w:szCs w:val="36"/>
        </w:rPr>
        <w:fldChar w:fldCharType="end"/>
      </w:r>
      <w:r>
        <w:rPr>
          <w:rFonts w:ascii="Times New Roman" w:hAnsi="Times New Roman" w:cs="Times New Roman"/>
          <w:sz w:val="34"/>
          <w:szCs w:val="36"/>
        </w:rPr>
        <w:fldChar w:fldCharType="end"/>
      </w:r>
    </w:p>
    <w:p>
      <w:pPr>
        <w:pStyle w:val="11"/>
        <w:tabs>
          <w:tab w:val="right" w:leader="dot" w:pos="8948"/>
        </w:tabs>
        <w:ind w:left="0" w:leftChars="0" w:firstLine="680" w:firstLineChars="0"/>
        <w:rPr>
          <w:rFonts w:ascii="Times New Roman" w:hAnsi="Times New Roman" w:cs="Times New Roman"/>
          <w:sz w:val="34"/>
          <w:szCs w:val="36"/>
        </w:rPr>
      </w:pPr>
      <w:r>
        <w:fldChar w:fldCharType="begin"/>
      </w:r>
      <w:r>
        <w:instrText xml:space="preserve"> HYPERLINK \l "_Toc119180009" </w:instrText>
      </w:r>
      <w:r>
        <w:fldChar w:fldCharType="separate"/>
      </w:r>
      <w:r>
        <w:rPr>
          <w:rStyle w:val="16"/>
          <w:rFonts w:ascii="Times New Roman" w:hAnsi="Times New Roman" w:cs="Times New Roman"/>
          <w:sz w:val="34"/>
          <w:szCs w:val="36"/>
        </w:rPr>
        <w:t>（二）落实财政保障</w:t>
      </w:r>
      <w:r>
        <w:rPr>
          <w:rFonts w:ascii="Times New Roman" w:hAnsi="Times New Roman" w:cs="Times New Roman"/>
          <w:sz w:val="34"/>
          <w:szCs w:val="36"/>
        </w:rPr>
        <w:tab/>
      </w:r>
      <w:r>
        <w:rPr>
          <w:rFonts w:ascii="Times New Roman" w:hAnsi="Times New Roman" w:cs="Times New Roman"/>
          <w:sz w:val="34"/>
          <w:szCs w:val="36"/>
        </w:rPr>
        <w:fldChar w:fldCharType="begin"/>
      </w:r>
      <w:r>
        <w:rPr>
          <w:rFonts w:ascii="Times New Roman" w:hAnsi="Times New Roman" w:cs="Times New Roman"/>
          <w:sz w:val="34"/>
          <w:szCs w:val="36"/>
        </w:rPr>
        <w:instrText xml:space="preserve"> PAGEREF _Toc119180009 \h </w:instrText>
      </w:r>
      <w:r>
        <w:rPr>
          <w:rFonts w:ascii="Times New Roman" w:hAnsi="Times New Roman" w:cs="Times New Roman"/>
          <w:sz w:val="34"/>
          <w:szCs w:val="36"/>
        </w:rPr>
        <w:fldChar w:fldCharType="separate"/>
      </w:r>
      <w:r>
        <w:rPr>
          <w:rFonts w:ascii="Times New Roman" w:hAnsi="Times New Roman" w:cs="Times New Roman"/>
          <w:sz w:val="34"/>
          <w:szCs w:val="36"/>
        </w:rPr>
        <w:t>38</w:t>
      </w:r>
      <w:r>
        <w:rPr>
          <w:rFonts w:ascii="Times New Roman" w:hAnsi="Times New Roman" w:cs="Times New Roman"/>
          <w:sz w:val="34"/>
          <w:szCs w:val="36"/>
        </w:rPr>
        <w:fldChar w:fldCharType="end"/>
      </w:r>
      <w:r>
        <w:rPr>
          <w:rFonts w:ascii="Times New Roman" w:hAnsi="Times New Roman" w:cs="Times New Roman"/>
          <w:sz w:val="34"/>
          <w:szCs w:val="36"/>
        </w:rPr>
        <w:fldChar w:fldCharType="end"/>
      </w:r>
    </w:p>
    <w:p>
      <w:pPr>
        <w:pStyle w:val="11"/>
        <w:tabs>
          <w:tab w:val="right" w:leader="dot" w:pos="8948"/>
        </w:tabs>
        <w:ind w:left="0" w:leftChars="0" w:firstLine="680" w:firstLineChars="0"/>
        <w:rPr>
          <w:rFonts w:ascii="Times New Roman" w:hAnsi="Times New Roman" w:eastAsia="宋体" w:cs="Times New Roman"/>
          <w:b/>
          <w:bCs/>
          <w:color w:val="000000" w:themeColor="text1"/>
          <w:sz w:val="40"/>
          <w:szCs w:val="44"/>
          <w14:textFill>
            <w14:solidFill>
              <w14:schemeClr w14:val="tx1"/>
            </w14:solidFill>
          </w14:textFill>
        </w:rPr>
      </w:pPr>
      <w:r>
        <w:fldChar w:fldCharType="begin"/>
      </w:r>
      <w:r>
        <w:instrText xml:space="preserve"> HYPERLINK \l "_Toc119180010" </w:instrText>
      </w:r>
      <w:r>
        <w:fldChar w:fldCharType="separate"/>
      </w:r>
      <w:r>
        <w:rPr>
          <w:rStyle w:val="16"/>
          <w:rFonts w:ascii="Times New Roman" w:hAnsi="Times New Roman" w:cs="Times New Roman"/>
          <w:sz w:val="34"/>
          <w:szCs w:val="36"/>
        </w:rPr>
        <w:t>（三）严格评估考核</w:t>
      </w:r>
      <w:r>
        <w:rPr>
          <w:rFonts w:ascii="Times New Roman" w:hAnsi="Times New Roman" w:cs="Times New Roman"/>
          <w:sz w:val="34"/>
          <w:szCs w:val="36"/>
        </w:rPr>
        <w:tab/>
      </w:r>
      <w:r>
        <w:rPr>
          <w:rFonts w:ascii="Times New Roman" w:hAnsi="Times New Roman" w:cs="Times New Roman"/>
          <w:sz w:val="34"/>
          <w:szCs w:val="36"/>
        </w:rPr>
        <w:fldChar w:fldCharType="begin"/>
      </w:r>
      <w:r>
        <w:rPr>
          <w:rFonts w:ascii="Times New Roman" w:hAnsi="Times New Roman" w:cs="Times New Roman"/>
          <w:sz w:val="34"/>
          <w:szCs w:val="36"/>
        </w:rPr>
        <w:instrText xml:space="preserve"> PAGEREF _Toc119180010 \h </w:instrText>
      </w:r>
      <w:r>
        <w:rPr>
          <w:rFonts w:ascii="Times New Roman" w:hAnsi="Times New Roman" w:cs="Times New Roman"/>
          <w:sz w:val="34"/>
          <w:szCs w:val="36"/>
        </w:rPr>
        <w:fldChar w:fldCharType="separate"/>
      </w:r>
      <w:r>
        <w:rPr>
          <w:rFonts w:ascii="Times New Roman" w:hAnsi="Times New Roman" w:cs="Times New Roman"/>
          <w:sz w:val="34"/>
          <w:szCs w:val="36"/>
        </w:rPr>
        <w:t>39</w:t>
      </w:r>
      <w:r>
        <w:rPr>
          <w:rFonts w:ascii="Times New Roman" w:hAnsi="Times New Roman" w:cs="Times New Roman"/>
          <w:sz w:val="34"/>
          <w:szCs w:val="36"/>
        </w:rPr>
        <w:fldChar w:fldCharType="end"/>
      </w:r>
      <w:r>
        <w:rPr>
          <w:rFonts w:ascii="Times New Roman" w:hAnsi="Times New Roman" w:cs="Times New Roman"/>
          <w:sz w:val="34"/>
          <w:szCs w:val="36"/>
        </w:rPr>
        <w:fldChar w:fldCharType="end"/>
      </w:r>
      <w:r>
        <w:rPr>
          <w:rFonts w:ascii="Times New Roman" w:hAnsi="Times New Roman" w:cs="Times New Roman"/>
          <w:b/>
          <w:bCs/>
          <w:color w:val="000000" w:themeColor="text1"/>
          <w:sz w:val="34"/>
          <w:szCs w:val="36"/>
          <w14:textFill>
            <w14:solidFill>
              <w14:schemeClr w14:val="tx1"/>
            </w14:solidFill>
          </w14:textFill>
        </w:rPr>
        <w:fldChar w:fldCharType="end"/>
      </w:r>
    </w:p>
    <w:p>
      <w:pPr>
        <w:widowControl/>
        <w:spacing w:line="0" w:lineRule="atLeast"/>
        <w:ind w:firstLine="0" w:firstLineChars="0"/>
        <w:jc w:val="center"/>
        <w:rPr>
          <w:rFonts w:ascii="Times New Roman" w:hAnsi="Times New Roman" w:eastAsia="方正小标宋简体" w:cs="Times New Roman"/>
          <w:bCs/>
          <w:color w:val="000000" w:themeColor="text1"/>
          <w:sz w:val="44"/>
          <w:szCs w:val="44"/>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6" w:h="16838"/>
          <w:pgMar w:top="1588" w:right="1474" w:bottom="1588" w:left="1474" w:header="851" w:footer="992" w:gutter="0"/>
          <w:pgNumType w:start="1"/>
          <w:cols w:space="425" w:num="1"/>
          <w:docGrid w:type="lines" w:linePitch="312" w:charSpace="0"/>
        </w:sectPr>
      </w:pPr>
    </w:p>
    <w:p>
      <w:pPr>
        <w:widowControl/>
        <w:spacing w:line="0" w:lineRule="atLeast"/>
        <w:ind w:firstLine="0" w:firstLineChars="0"/>
        <w:jc w:val="center"/>
        <w:rPr>
          <w:rFonts w:ascii="Times New Roman" w:hAnsi="Times New Roman" w:eastAsia="方正小标宋简体" w:cs="Times New Roman"/>
          <w:bCs/>
          <w:color w:val="000000" w:themeColor="text1"/>
          <w:sz w:val="44"/>
          <w:szCs w:val="44"/>
          <w14:textFill>
            <w14:solidFill>
              <w14:schemeClr w14:val="tx1"/>
            </w14:solidFill>
          </w14:textFill>
        </w:rPr>
      </w:pPr>
      <w:r>
        <w:rPr>
          <w:rFonts w:ascii="Times New Roman" w:hAnsi="Times New Roman" w:eastAsia="方正小标宋简体" w:cs="Times New Roman"/>
          <w:bCs/>
          <w:color w:val="000000" w:themeColor="text1"/>
          <w:sz w:val="44"/>
          <w:szCs w:val="44"/>
          <w14:textFill>
            <w14:solidFill>
              <w14:schemeClr w14:val="tx1"/>
            </w14:solidFill>
          </w14:textFill>
        </w:rPr>
        <w:t>巴彦淖尔市“十四五”卫生与健康事业</w:t>
      </w:r>
    </w:p>
    <w:p>
      <w:pPr>
        <w:widowControl/>
        <w:spacing w:line="0" w:lineRule="atLeast"/>
        <w:ind w:firstLine="0" w:firstLineChars="0"/>
        <w:jc w:val="center"/>
        <w:rPr>
          <w:rFonts w:ascii="Times New Roman" w:hAnsi="Times New Roman" w:eastAsia="方正小标宋简体" w:cs="Times New Roman"/>
          <w:bCs/>
          <w:color w:val="000000" w:themeColor="text1"/>
          <w:sz w:val="44"/>
          <w:szCs w:val="44"/>
          <w14:textFill>
            <w14:solidFill>
              <w14:schemeClr w14:val="tx1"/>
            </w14:solidFill>
          </w14:textFill>
        </w:rPr>
      </w:pPr>
      <w:r>
        <w:rPr>
          <w:rFonts w:ascii="Times New Roman" w:hAnsi="Times New Roman" w:eastAsia="方正小标宋简体" w:cs="Times New Roman"/>
          <w:bCs/>
          <w:color w:val="000000" w:themeColor="text1"/>
          <w:sz w:val="44"/>
          <w:szCs w:val="44"/>
          <w14:textFill>
            <w14:solidFill>
              <w14:schemeClr w14:val="tx1"/>
            </w14:solidFill>
          </w14:textFill>
        </w:rPr>
        <w:t>发展规划</w:t>
      </w:r>
    </w:p>
    <w:p>
      <w:pPr>
        <w:ind w:firstLine="0" w:firstLineChars="0"/>
        <w:rPr>
          <w:rFonts w:ascii="Times New Roman" w:hAnsi="Times New Roman" w:cs="Times New Roman"/>
          <w:sz w:val="21"/>
          <w:szCs w:val="21"/>
        </w:rPr>
      </w:pPr>
    </w:p>
    <w:p>
      <w:pPr>
        <w:spacing w:line="580" w:lineRule="exact"/>
        <w:ind w:firstLine="0" w:firstLineChars="0"/>
        <w:jc w:val="center"/>
        <w:rPr>
          <w:rFonts w:ascii="Times New Roman" w:hAnsi="Times New Roman" w:eastAsia="方正楷体_GBK" w:cs="Times New Roman"/>
          <w:bCs/>
          <w:color w:val="000000" w:themeColor="text1"/>
          <w:sz w:val="36"/>
          <w:szCs w:val="36"/>
          <w14:textFill>
            <w14:solidFill>
              <w14:schemeClr w14:val="tx1"/>
            </w14:solidFill>
          </w14:textFill>
        </w:rPr>
      </w:pPr>
    </w:p>
    <w:p>
      <w:pPr>
        <w:ind w:firstLine="0" w:firstLineChars="0"/>
        <w:rPr>
          <w:rFonts w:ascii="Times New Roman" w:hAnsi="Times New Roman" w:cs="Times New Roman"/>
          <w:sz w:val="21"/>
          <w:szCs w:val="21"/>
        </w:rPr>
      </w:pPr>
    </w:p>
    <w:p>
      <w:pPr>
        <w:adjustRightInd w:val="0"/>
        <w:spacing w:line="600" w:lineRule="exact"/>
        <w:ind w:firstLine="640"/>
        <w:rPr>
          <w:rFonts w:ascii="Times New Roman" w:hAnsi="Times New Roman" w:cs="Times New Roman"/>
          <w:color w:val="000000" w:themeColor="text1"/>
          <w:szCs w:val="32"/>
          <w14:textFill>
            <w14:solidFill>
              <w14:schemeClr w14:val="tx1"/>
            </w14:solidFill>
          </w14:textFill>
        </w:rPr>
      </w:pPr>
      <w:r>
        <w:rPr>
          <w:rFonts w:ascii="Times New Roman" w:hAnsi="Times New Roman" w:cs="Times New Roman"/>
          <w:color w:val="000000" w:themeColor="text1"/>
          <w:szCs w:val="32"/>
          <w14:textFill>
            <w14:solidFill>
              <w14:schemeClr w14:val="tx1"/>
            </w14:solidFill>
          </w14:textFill>
        </w:rPr>
        <w:t>为推动巴彦淖尔市卫生健康事业高质量发展，更好地满足人民群众卫生健康服务需求，根据《“健康中国2030”规划纲要》《“十四五”国民健康规划》《内蒙古自治区“十四五”卫生与健康发展规划》和《巴彦淖尔市国民经济和社会发展第十四个五年规划和2035年远景目标纲要》，结合全市工作实际，制定本规划。</w:t>
      </w:r>
      <w:bookmarkStart w:id="0" w:name="_Toc102134259"/>
    </w:p>
    <w:p>
      <w:pPr>
        <w:pStyle w:val="2"/>
        <w:keepNext w:val="0"/>
        <w:keepLines w:val="0"/>
        <w:adjustRightInd w:val="0"/>
        <w:spacing w:line="600" w:lineRule="exact"/>
        <w:ind w:firstLine="640"/>
        <w:rPr>
          <w:rFonts w:ascii="Times New Roman" w:hAnsi="Times New Roman" w:cs="Times New Roman"/>
          <w:szCs w:val="32"/>
        </w:rPr>
      </w:pPr>
      <w:bookmarkStart w:id="1" w:name="_Toc110613622"/>
      <w:bookmarkStart w:id="2" w:name="_Toc110018696"/>
      <w:bookmarkStart w:id="3" w:name="_Toc119179938"/>
      <w:r>
        <w:rPr>
          <w:rFonts w:ascii="Times New Roman" w:hAnsi="Times New Roman" w:cs="Times New Roman"/>
          <w:szCs w:val="32"/>
        </w:rPr>
        <w:t>一、规划背景</w:t>
      </w:r>
      <w:bookmarkEnd w:id="0"/>
      <w:bookmarkEnd w:id="1"/>
      <w:bookmarkEnd w:id="2"/>
      <w:bookmarkEnd w:id="3"/>
    </w:p>
    <w:p>
      <w:pPr>
        <w:adjustRightInd w:val="0"/>
        <w:spacing w:line="600" w:lineRule="exact"/>
        <w:ind w:firstLine="640"/>
        <w:rPr>
          <w:rFonts w:ascii="Times New Roman" w:hAnsi="Times New Roman" w:cs="Times New Roman"/>
          <w:color w:val="000000" w:themeColor="text1"/>
          <w:szCs w:val="32"/>
          <w14:textFill>
            <w14:solidFill>
              <w14:schemeClr w14:val="tx1"/>
            </w14:solidFill>
          </w14:textFill>
        </w:rPr>
      </w:pPr>
      <w:r>
        <w:rPr>
          <w:rFonts w:ascii="Times New Roman" w:hAnsi="Times New Roman" w:cs="Times New Roman"/>
          <w:color w:val="000000" w:themeColor="text1"/>
          <w:szCs w:val="32"/>
          <w14:textFill>
            <w14:solidFill>
              <w14:schemeClr w14:val="tx1"/>
            </w14:solidFill>
          </w14:textFill>
        </w:rPr>
        <w:t>“十三五”时期，在市委、政府的坚强领导下，全市卫生健康事业发展坚持以人民健康为中心，全面推进健康巴彦淖尔行动，医药卫生体制改革不断深化，卫生健康服务体系持续完善，健康扶贫和新冠疫情防控取得重大成果，卫生健康事业发展取得显著成效，人民健康水平稳步提高。“十三五”规划确定的主要目标和任务基本实现，为“十四五”卫生健康事业发展奠定了坚实基础。</w:t>
      </w:r>
      <w:bookmarkStart w:id="4" w:name="_Toc102134260"/>
    </w:p>
    <w:p>
      <w:pPr>
        <w:pStyle w:val="3"/>
        <w:keepNext w:val="0"/>
        <w:keepLines w:val="0"/>
        <w:adjustRightInd w:val="0"/>
        <w:spacing w:line="600" w:lineRule="exact"/>
        <w:ind w:firstLine="643"/>
        <w:rPr>
          <w:rFonts w:ascii="Times New Roman" w:hAnsi="Times New Roman" w:eastAsia="楷体_GB2312" w:cs="Times New Roman"/>
        </w:rPr>
      </w:pPr>
      <w:bookmarkStart w:id="5" w:name="_Toc110018697"/>
      <w:bookmarkStart w:id="6" w:name="_Toc110613623"/>
      <w:bookmarkStart w:id="7" w:name="_Toc119179939"/>
      <w:r>
        <w:rPr>
          <w:rFonts w:ascii="Times New Roman" w:hAnsi="Times New Roman" w:eastAsia="楷体_GB2312" w:cs="Times New Roman"/>
        </w:rPr>
        <w:t>（一）“十三五”时期取得的主要成就</w:t>
      </w:r>
      <w:bookmarkEnd w:id="4"/>
      <w:bookmarkEnd w:id="5"/>
      <w:bookmarkEnd w:id="6"/>
      <w:bookmarkEnd w:id="7"/>
    </w:p>
    <w:p>
      <w:pPr>
        <w:adjustRightInd w:val="0"/>
        <w:spacing w:line="600" w:lineRule="exact"/>
        <w:ind w:firstLine="643"/>
        <w:rPr>
          <w:rFonts w:ascii="Times New Roman" w:hAnsi="Times New Roman" w:cs="Times New Roman"/>
          <w:color w:val="000000" w:themeColor="text1"/>
          <w:szCs w:val="32"/>
          <w14:textFill>
            <w14:solidFill>
              <w14:schemeClr w14:val="tx1"/>
            </w14:solidFill>
          </w14:textFill>
        </w:rPr>
      </w:pPr>
      <w:bookmarkStart w:id="8" w:name="_Toc119179940"/>
      <w:bookmarkStart w:id="9" w:name="_Toc110018698"/>
      <w:bookmarkStart w:id="10" w:name="_Toc110613624"/>
      <w:bookmarkStart w:id="11" w:name="_Toc102134261"/>
      <w:r>
        <w:rPr>
          <w:rStyle w:val="22"/>
          <w:rFonts w:ascii="Times New Roman" w:hAnsi="Times New Roman" w:cs="Times New Roman"/>
        </w:rPr>
        <w:t>1、居民健康状况明显改善</w:t>
      </w:r>
      <w:bookmarkEnd w:id="8"/>
      <w:bookmarkEnd w:id="9"/>
      <w:bookmarkEnd w:id="10"/>
      <w:r>
        <w:rPr>
          <w:rFonts w:ascii="Times New Roman" w:hAnsi="Times New Roman" w:cs="Times New Roman"/>
          <w:b/>
          <w:bCs/>
          <w:color w:val="000000" w:themeColor="text1"/>
          <w:szCs w:val="32"/>
          <w14:textFill>
            <w14:solidFill>
              <w14:schemeClr w14:val="tx1"/>
            </w14:solidFill>
          </w14:textFill>
        </w:rPr>
        <w:t>。</w:t>
      </w:r>
      <w:bookmarkEnd w:id="11"/>
      <w:r>
        <w:rPr>
          <w:rFonts w:ascii="Times New Roman" w:hAnsi="Times New Roman" w:cs="Times New Roman"/>
          <w:color w:val="000000" w:themeColor="text1"/>
          <w:szCs w:val="32"/>
          <w14:textFill>
            <w14:solidFill>
              <w14:schemeClr w14:val="tx1"/>
            </w14:solidFill>
          </w14:textFill>
        </w:rPr>
        <w:t xml:space="preserve">2020年，全市人均预期寿命达到77.51岁，个人卫生支出在卫生总费用中所占比重为29.34%。2016-2020年孕产妇死亡率平均降至15.54/10万，婴儿死亡率由2016年的5.93‰下降至2020年的3.88‰，5岁以下儿童死亡率由2016年的6.71‰下降至2020年的5.21‰。 </w:t>
      </w:r>
    </w:p>
    <w:p>
      <w:pPr>
        <w:adjustRightInd w:val="0"/>
        <w:spacing w:line="600" w:lineRule="exact"/>
        <w:ind w:firstLine="643"/>
        <w:rPr>
          <w:rFonts w:ascii="Times New Roman" w:hAnsi="Times New Roman" w:cs="Times New Roman"/>
          <w:color w:val="000000" w:themeColor="text1"/>
          <w:szCs w:val="32"/>
          <w14:textFill>
            <w14:solidFill>
              <w14:schemeClr w14:val="tx1"/>
            </w14:solidFill>
          </w14:textFill>
        </w:rPr>
      </w:pPr>
      <w:bookmarkStart w:id="12" w:name="_Toc110018699"/>
      <w:bookmarkStart w:id="13" w:name="_Toc110613625"/>
      <w:bookmarkStart w:id="14" w:name="_Toc119179941"/>
      <w:bookmarkStart w:id="15" w:name="_Toc102134262"/>
      <w:r>
        <w:rPr>
          <w:rStyle w:val="22"/>
          <w:rFonts w:ascii="Times New Roman" w:hAnsi="Times New Roman" w:cs="Times New Roman"/>
        </w:rPr>
        <w:t>2、卫生健康资源配置逐步优化</w:t>
      </w:r>
      <w:bookmarkEnd w:id="12"/>
      <w:bookmarkEnd w:id="13"/>
      <w:bookmarkEnd w:id="14"/>
      <w:r>
        <w:rPr>
          <w:rFonts w:ascii="Times New Roman" w:hAnsi="Times New Roman" w:cs="Times New Roman"/>
          <w:b/>
          <w:bCs/>
          <w:color w:val="000000" w:themeColor="text1"/>
          <w:szCs w:val="32"/>
          <w14:textFill>
            <w14:solidFill>
              <w14:schemeClr w14:val="tx1"/>
            </w14:solidFill>
          </w14:textFill>
        </w:rPr>
        <w:t>。</w:t>
      </w:r>
      <w:bookmarkEnd w:id="15"/>
      <w:r>
        <w:rPr>
          <w:rFonts w:ascii="Times New Roman" w:hAnsi="Times New Roman" w:cs="Times New Roman"/>
          <w:color w:val="000000" w:themeColor="text1"/>
          <w:szCs w:val="32"/>
          <w14:textFill>
            <w14:solidFill>
              <w14:schemeClr w14:val="tx1"/>
            </w14:solidFill>
          </w14:textFill>
        </w:rPr>
        <w:t>截至2020年底，全市共有医疗卫生机构1696个，其中基层医疗卫生机构1609个，专业公共卫生机构29个。全市医疗卫生机构实有床位11624张</w:t>
      </w:r>
      <w:r>
        <w:rPr>
          <w:rFonts w:ascii="Times New Roman" w:hAnsi="Times New Roman" w:cs="Times New Roman"/>
          <w:color w:val="000000" w:themeColor="text1"/>
          <w:szCs w:val="32"/>
          <w:lang w:val="en"/>
          <w14:textFill>
            <w14:solidFill>
              <w14:schemeClr w14:val="tx1"/>
            </w14:solidFill>
          </w14:textFill>
        </w:rPr>
        <w:t>，</w:t>
      </w:r>
      <w:r>
        <w:rPr>
          <w:rFonts w:ascii="Times New Roman" w:hAnsi="Times New Roman" w:cs="Times New Roman"/>
          <w:color w:val="000000" w:themeColor="text1"/>
          <w:szCs w:val="32"/>
          <w14:textFill>
            <w14:solidFill>
              <w14:schemeClr w14:val="tx1"/>
            </w14:solidFill>
          </w14:textFill>
        </w:rPr>
        <w:t>每千人口床位7.33张，每千人口执业（助理）医师3.46人，每千人注册护士3.5人，每万人全科医生3人。</w:t>
      </w:r>
    </w:p>
    <w:p>
      <w:pPr>
        <w:adjustRightInd w:val="0"/>
        <w:spacing w:line="600" w:lineRule="exact"/>
        <w:ind w:firstLine="643"/>
        <w:rPr>
          <w:rFonts w:ascii="Times New Roman" w:hAnsi="Times New Roman" w:cs="Times New Roman"/>
          <w:color w:val="000000" w:themeColor="text1"/>
          <w:szCs w:val="32"/>
          <w14:textFill>
            <w14:solidFill>
              <w14:schemeClr w14:val="tx1"/>
            </w14:solidFill>
          </w14:textFill>
        </w:rPr>
      </w:pPr>
      <w:bookmarkStart w:id="16" w:name="_Toc110613626"/>
      <w:bookmarkStart w:id="17" w:name="_Toc119179942"/>
      <w:bookmarkStart w:id="18" w:name="_Toc110018700"/>
      <w:bookmarkStart w:id="19" w:name="_Toc102134263"/>
      <w:r>
        <w:rPr>
          <w:rStyle w:val="22"/>
          <w:rFonts w:ascii="Times New Roman" w:hAnsi="Times New Roman" w:cs="Times New Roman"/>
        </w:rPr>
        <w:t>3、卫生健康服务能力不断完善</w:t>
      </w:r>
      <w:bookmarkEnd w:id="16"/>
      <w:bookmarkEnd w:id="17"/>
      <w:bookmarkEnd w:id="18"/>
      <w:r>
        <w:rPr>
          <w:rFonts w:ascii="Times New Roman" w:hAnsi="Times New Roman" w:cs="Times New Roman"/>
          <w:b/>
          <w:bCs/>
          <w:color w:val="000000" w:themeColor="text1"/>
          <w:szCs w:val="32"/>
          <w14:textFill>
            <w14:solidFill>
              <w14:schemeClr w14:val="tx1"/>
            </w14:solidFill>
          </w14:textFill>
        </w:rPr>
        <w:t>。</w:t>
      </w:r>
      <w:bookmarkEnd w:id="19"/>
      <w:r>
        <w:rPr>
          <w:rFonts w:ascii="Times New Roman" w:hAnsi="Times New Roman" w:cs="Times New Roman"/>
          <w:color w:val="000000" w:themeColor="text1"/>
          <w:szCs w:val="32"/>
          <w14:textFill>
            <w14:solidFill>
              <w14:schemeClr w14:val="tx1"/>
            </w14:solidFill>
          </w14:textFill>
        </w:rPr>
        <w:t>市医院新址建成投用，市医院、市中医医院评为国家三甲医院，6所县级综合医院评为二级甲等医院，苏木乡镇卫生院、嘎查村卫生室全部完成标准化建设，基层医疗卫生机构中医馆蒙医馆建设完成率达到89.6%，市、县、乡、村四级医疗卫生服务机构实现全覆盖。</w:t>
      </w:r>
    </w:p>
    <w:p>
      <w:pPr>
        <w:adjustRightInd w:val="0"/>
        <w:spacing w:line="600" w:lineRule="exact"/>
        <w:ind w:firstLine="643"/>
        <w:rPr>
          <w:rFonts w:ascii="Times New Roman" w:hAnsi="Times New Roman" w:cs="Times New Roman"/>
          <w:color w:val="000000" w:themeColor="text1"/>
          <w:szCs w:val="32"/>
          <w:highlight w:val="yellow"/>
          <w14:textFill>
            <w14:solidFill>
              <w14:schemeClr w14:val="tx1"/>
            </w14:solidFill>
          </w14:textFill>
        </w:rPr>
      </w:pPr>
      <w:bookmarkStart w:id="20" w:name="_Toc110018701"/>
      <w:bookmarkStart w:id="21" w:name="_Toc119179943"/>
      <w:bookmarkStart w:id="22" w:name="_Toc110613627"/>
      <w:bookmarkStart w:id="23" w:name="_Toc102134264"/>
      <w:r>
        <w:rPr>
          <w:rStyle w:val="22"/>
          <w:rFonts w:ascii="Times New Roman" w:hAnsi="Times New Roman" w:cs="Times New Roman"/>
        </w:rPr>
        <w:t>4、疾病防控能力不断提高</w:t>
      </w:r>
      <w:bookmarkEnd w:id="20"/>
      <w:bookmarkEnd w:id="21"/>
      <w:bookmarkEnd w:id="22"/>
      <w:r>
        <w:rPr>
          <w:rFonts w:ascii="Times New Roman" w:hAnsi="Times New Roman" w:cs="Times New Roman"/>
          <w:b/>
          <w:bCs/>
          <w:color w:val="000000" w:themeColor="text1"/>
          <w:szCs w:val="32"/>
          <w14:textFill>
            <w14:solidFill>
              <w14:schemeClr w14:val="tx1"/>
            </w14:solidFill>
          </w14:textFill>
        </w:rPr>
        <w:t>。</w:t>
      </w:r>
      <w:bookmarkEnd w:id="23"/>
      <w:r>
        <w:rPr>
          <w:rFonts w:ascii="Times New Roman" w:hAnsi="Times New Roman" w:cs="Times New Roman"/>
          <w:color w:val="000000" w:themeColor="text1"/>
          <w:szCs w:val="32"/>
          <w14:textFill>
            <w14:solidFill>
              <w14:schemeClr w14:val="tx1"/>
            </w14:solidFill>
          </w14:textFill>
        </w:rPr>
        <w:t>扎实推进14类54项基本公共卫生服务项目，全市老年人健康管理率73.61%，高血压患者规范管理率88.86%，糖尿病患者规范管理率87.58%，电子健康档案建档率96.85%。全市法定传染病报告发病率402.13/万人，报告质量综合率99.91%。免疫规划疫苗接种率达88.73%。全市婚检率95.91%，免费孕前优生健康检查目标人群覆盖100%，产前检查率95.67%。</w:t>
      </w:r>
    </w:p>
    <w:p>
      <w:pPr>
        <w:adjustRightInd w:val="0"/>
        <w:spacing w:line="600" w:lineRule="exact"/>
        <w:ind w:firstLine="643"/>
        <w:rPr>
          <w:rFonts w:ascii="Times New Roman" w:hAnsi="Times New Roman" w:cs="Times New Roman"/>
          <w:color w:val="000000" w:themeColor="text1"/>
          <w:szCs w:val="32"/>
          <w14:textFill>
            <w14:solidFill>
              <w14:schemeClr w14:val="tx1"/>
            </w14:solidFill>
          </w14:textFill>
        </w:rPr>
      </w:pPr>
      <w:bookmarkStart w:id="24" w:name="_Toc119179944"/>
      <w:bookmarkStart w:id="25" w:name="_Toc110018702"/>
      <w:bookmarkStart w:id="26" w:name="_Toc110613628"/>
      <w:bookmarkStart w:id="27" w:name="_Toc102134265"/>
      <w:r>
        <w:rPr>
          <w:rStyle w:val="22"/>
          <w:rFonts w:ascii="Times New Roman" w:hAnsi="Times New Roman" w:cs="Times New Roman"/>
        </w:rPr>
        <w:t>5、疫情防控处置能力进一步加强</w:t>
      </w:r>
      <w:bookmarkEnd w:id="24"/>
      <w:bookmarkEnd w:id="25"/>
      <w:bookmarkEnd w:id="26"/>
      <w:r>
        <w:rPr>
          <w:rFonts w:ascii="Times New Roman" w:hAnsi="Times New Roman" w:cs="Times New Roman"/>
          <w:b/>
          <w:bCs/>
          <w:color w:val="000000" w:themeColor="text1"/>
          <w:szCs w:val="32"/>
          <w14:textFill>
            <w14:solidFill>
              <w14:schemeClr w14:val="tx1"/>
            </w14:solidFill>
          </w14:textFill>
        </w:rPr>
        <w:t>。</w:t>
      </w:r>
      <w:bookmarkEnd w:id="27"/>
      <w:r>
        <w:rPr>
          <w:rFonts w:ascii="Times New Roman" w:hAnsi="Times New Roman" w:cs="Times New Roman"/>
          <w:color w:val="000000" w:themeColor="text1"/>
          <w:szCs w:val="32"/>
          <w14:textFill>
            <w14:solidFill>
              <w14:schemeClr w14:val="tx1"/>
            </w14:solidFill>
          </w14:textFill>
        </w:rPr>
        <w:t>公立医院传染病隔离病区全部启动升级改造，设置救治床位2711张，全市新冠肺炎定点医疗机构9所，后备定点医疗机构6所，具备新冠病毒核酸检测能力检测机构18所，核酸检测设备46台，检测人员197人，采样人员4236人。</w:t>
      </w:r>
    </w:p>
    <w:p>
      <w:pPr>
        <w:adjustRightInd w:val="0"/>
        <w:spacing w:line="600" w:lineRule="exact"/>
        <w:ind w:firstLine="643"/>
        <w:rPr>
          <w:rFonts w:ascii="Times New Roman" w:hAnsi="Times New Roman" w:cs="Times New Roman"/>
          <w:color w:val="000000" w:themeColor="text1"/>
          <w:szCs w:val="32"/>
          <w14:textFill>
            <w14:solidFill>
              <w14:schemeClr w14:val="tx1"/>
            </w14:solidFill>
          </w14:textFill>
        </w:rPr>
      </w:pPr>
      <w:bookmarkStart w:id="28" w:name="_Toc110018703"/>
      <w:bookmarkStart w:id="29" w:name="_Toc110613629"/>
      <w:bookmarkStart w:id="30" w:name="_Toc119179945"/>
      <w:bookmarkStart w:id="31" w:name="_Toc102134266"/>
      <w:r>
        <w:rPr>
          <w:rStyle w:val="22"/>
          <w:rFonts w:ascii="Times New Roman" w:hAnsi="Times New Roman" w:cs="Times New Roman"/>
        </w:rPr>
        <w:t>6、综合改革稳步有序推进</w:t>
      </w:r>
      <w:bookmarkEnd w:id="28"/>
      <w:bookmarkEnd w:id="29"/>
      <w:bookmarkEnd w:id="30"/>
      <w:r>
        <w:rPr>
          <w:rFonts w:ascii="Times New Roman" w:hAnsi="Times New Roman" w:cs="Times New Roman"/>
          <w:b/>
          <w:bCs/>
          <w:color w:val="000000" w:themeColor="text1"/>
          <w:szCs w:val="32"/>
          <w14:textFill>
            <w14:solidFill>
              <w14:schemeClr w14:val="tx1"/>
            </w14:solidFill>
          </w14:textFill>
        </w:rPr>
        <w:t>。</w:t>
      </w:r>
      <w:bookmarkEnd w:id="31"/>
      <w:r>
        <w:rPr>
          <w:rFonts w:ascii="Times New Roman" w:hAnsi="Times New Roman" w:cs="Times New Roman"/>
          <w:color w:val="000000" w:themeColor="text1"/>
          <w:szCs w:val="32"/>
          <w14:textFill>
            <w14:solidFill>
              <w14:schemeClr w14:val="tx1"/>
            </w14:solidFill>
          </w14:textFill>
        </w:rPr>
        <w:t>组建区域 “医联体”12个，五原县被确定为国家紧密型医共体建设试点，全市7所医院开展现代医院管理制度试点；全市所有公立医院、25%的民营医院完成章程制定工作；公立医疗机构“两票制”实施覆盖率100%。公立医院平均药占比从改革前的50%左右下降至28.43%。2020年较2019年，全市公立医院医疗费用增幅-8.8%；全市基层医疗卫生机构诊疗人次数占医疗卫生机构诊疗总人次数的比例42.63%，提升5%。全市公立医院平均住院日8.5天；病床使用率61.9%，检查化验占比30.0%，提升2.3个百分点；卫生材料占比13.7%，下降0.7%；医疗服务收入占比27.4%；资产负债率46.3%，下降1.5%。2个机构医养结合典型经验入选全国名录，1个街道被命名为全国智慧健康养老示范街道，3个单位被自治区卫生健康委命名为医养结合示范单位。</w:t>
      </w:r>
    </w:p>
    <w:p>
      <w:pPr>
        <w:adjustRightInd w:val="0"/>
        <w:spacing w:line="600" w:lineRule="exact"/>
        <w:ind w:firstLine="643"/>
        <w:rPr>
          <w:rFonts w:ascii="Times New Roman" w:hAnsi="Times New Roman" w:cs="Times New Roman"/>
          <w:color w:val="000000" w:themeColor="text1"/>
          <w:szCs w:val="32"/>
          <w14:textFill>
            <w14:solidFill>
              <w14:schemeClr w14:val="tx1"/>
            </w14:solidFill>
          </w14:textFill>
        </w:rPr>
      </w:pPr>
      <w:bookmarkStart w:id="32" w:name="_Toc110018704"/>
      <w:bookmarkStart w:id="33" w:name="_Toc119179946"/>
      <w:bookmarkStart w:id="34" w:name="_Toc110613630"/>
      <w:bookmarkStart w:id="35" w:name="_Toc102134267"/>
      <w:r>
        <w:rPr>
          <w:rStyle w:val="22"/>
          <w:rFonts w:ascii="Times New Roman" w:hAnsi="Times New Roman" w:cs="Times New Roman"/>
        </w:rPr>
        <w:t>7、健康巴彦淖尔建设扎实推进</w:t>
      </w:r>
      <w:bookmarkEnd w:id="32"/>
      <w:bookmarkEnd w:id="33"/>
      <w:bookmarkEnd w:id="34"/>
      <w:r>
        <w:rPr>
          <w:rFonts w:ascii="Times New Roman" w:hAnsi="Times New Roman" w:cs="Times New Roman"/>
          <w:b/>
          <w:bCs/>
          <w:color w:val="000000" w:themeColor="text1"/>
          <w:szCs w:val="32"/>
          <w14:textFill>
            <w14:solidFill>
              <w14:schemeClr w14:val="tx1"/>
            </w14:solidFill>
          </w14:textFill>
        </w:rPr>
        <w:t>。</w:t>
      </w:r>
      <w:bookmarkEnd w:id="35"/>
      <w:r>
        <w:rPr>
          <w:rFonts w:ascii="Times New Roman" w:hAnsi="Times New Roman" w:cs="Times New Roman"/>
          <w:color w:val="000000" w:themeColor="text1"/>
          <w:szCs w:val="32"/>
          <w14:textFill>
            <w14:solidFill>
              <w14:schemeClr w14:val="tx1"/>
            </w14:solidFill>
          </w14:textFill>
        </w:rPr>
        <w:t>成功创建国家卫生城市，实现国家、自治区卫生县城全覆盖，5个乡镇创建为国家级卫生乡镇。实现自治区级慢性病综合防治示范区全覆盖，五原县、磴口县创建成为国家级慢性病综合防治示范区，乌拉特中旗、乌拉特后旗通过国家级健康促进旗县验收。全面两孩政策平稳实施，计划生育服务管理实现重大转变。一老一小、妇幼健康、职业健康工作等取得新成效，关注健康、追求健康的社会氛围初步形成。</w:t>
      </w:r>
    </w:p>
    <w:p>
      <w:pPr>
        <w:adjustRightInd w:val="0"/>
        <w:spacing w:line="600" w:lineRule="exact"/>
        <w:ind w:firstLine="643"/>
        <w:rPr>
          <w:rFonts w:ascii="Times New Roman" w:hAnsi="Times New Roman" w:cs="Times New Roman"/>
          <w:color w:val="000000" w:themeColor="text1"/>
          <w:szCs w:val="32"/>
          <w14:textFill>
            <w14:solidFill>
              <w14:schemeClr w14:val="tx1"/>
            </w14:solidFill>
          </w14:textFill>
        </w:rPr>
      </w:pPr>
      <w:bookmarkStart w:id="36" w:name="_Toc110018705"/>
      <w:bookmarkStart w:id="37" w:name="_Toc119179947"/>
      <w:bookmarkStart w:id="38" w:name="_Toc110613631"/>
      <w:bookmarkStart w:id="39" w:name="_Toc102134268"/>
      <w:r>
        <w:rPr>
          <w:rStyle w:val="22"/>
          <w:rFonts w:ascii="Times New Roman" w:hAnsi="Times New Roman" w:cs="Times New Roman"/>
        </w:rPr>
        <w:t>8、健康扶贫任务全面完成</w:t>
      </w:r>
      <w:bookmarkEnd w:id="36"/>
      <w:bookmarkEnd w:id="37"/>
      <w:bookmarkEnd w:id="38"/>
      <w:r>
        <w:rPr>
          <w:rFonts w:ascii="Times New Roman" w:hAnsi="Times New Roman" w:cs="Times New Roman"/>
          <w:b/>
          <w:bCs/>
          <w:color w:val="000000" w:themeColor="text1"/>
          <w:szCs w:val="32"/>
          <w14:textFill>
            <w14:solidFill>
              <w14:schemeClr w14:val="tx1"/>
            </w14:solidFill>
          </w14:textFill>
        </w:rPr>
        <w:t>。</w:t>
      </w:r>
      <w:bookmarkEnd w:id="39"/>
      <w:r>
        <w:rPr>
          <w:rFonts w:ascii="Times New Roman" w:hAnsi="Times New Roman" w:cs="Times New Roman"/>
          <w:color w:val="000000" w:themeColor="text1"/>
          <w:szCs w:val="32"/>
          <w14:textFill>
            <w14:solidFill>
              <w14:schemeClr w14:val="tx1"/>
            </w14:solidFill>
          </w14:textFill>
        </w:rPr>
        <w:t>贫困人口基本医疗有保障全面实现，因病致贫返贫问题得到有效解决，71所基层医疗卫生机构配齐超声、影像、心电、生化设备，644所村卫生室均配备1名合格医生。精准实施“三个一批”行动计划，严格落实“一免一降四提高一兜底”综合保障政策和“先诊疗，后付费”服务模式，有效减轻了贫困人口医疗费用负担，建档立卡贫困人口大病救治服务3235人，慢病签约14432人。</w:t>
      </w:r>
    </w:p>
    <w:p>
      <w:pPr>
        <w:adjustRightInd w:val="0"/>
        <w:spacing w:line="600" w:lineRule="exact"/>
        <w:ind w:firstLine="643"/>
        <w:rPr>
          <w:rFonts w:ascii="Times New Roman" w:hAnsi="Times New Roman" w:cs="Times New Roman"/>
          <w:color w:val="000000" w:themeColor="text1"/>
          <w:szCs w:val="32"/>
          <w14:textFill>
            <w14:solidFill>
              <w14:schemeClr w14:val="tx1"/>
            </w14:solidFill>
          </w14:textFill>
        </w:rPr>
      </w:pPr>
      <w:bookmarkStart w:id="40" w:name="_Toc110613632"/>
      <w:bookmarkStart w:id="41" w:name="_Toc119179948"/>
      <w:bookmarkStart w:id="42" w:name="_Toc110018706"/>
      <w:bookmarkStart w:id="43" w:name="_Toc102134269"/>
      <w:r>
        <w:rPr>
          <w:rStyle w:val="22"/>
          <w:rFonts w:ascii="Times New Roman" w:hAnsi="Times New Roman" w:cs="Times New Roman"/>
        </w:rPr>
        <w:t>9、“互联网+医疗健康”广泛应用</w:t>
      </w:r>
      <w:bookmarkEnd w:id="40"/>
      <w:bookmarkEnd w:id="41"/>
      <w:bookmarkEnd w:id="42"/>
      <w:r>
        <w:rPr>
          <w:rFonts w:ascii="Times New Roman" w:hAnsi="Times New Roman" w:cs="Times New Roman"/>
          <w:b/>
          <w:bCs/>
          <w:color w:val="000000" w:themeColor="text1"/>
          <w:szCs w:val="32"/>
          <w14:textFill>
            <w14:solidFill>
              <w14:schemeClr w14:val="tx1"/>
            </w14:solidFill>
          </w14:textFill>
        </w:rPr>
        <w:t>。</w:t>
      </w:r>
      <w:bookmarkEnd w:id="43"/>
      <w:r>
        <w:rPr>
          <w:rFonts w:ascii="Times New Roman" w:hAnsi="Times New Roman" w:cs="Times New Roman"/>
          <w:color w:val="000000" w:themeColor="text1"/>
          <w:szCs w:val="32"/>
          <w14:textFill>
            <w14:solidFill>
              <w14:schemeClr w14:val="tx1"/>
            </w14:solidFill>
          </w14:textFill>
        </w:rPr>
        <w:t>全市建成“三库一卡”全民健康数据中心，建立本地化全员人口信息数据160万条，健康档案信息数据158万条，医疗就诊信息数据960万条，电子健康码数据154万；统一实施全民健康信息平台，建成三大类26个应用系统，9所县级以上医疗机构、112所基层医疗机构、420所村卫生室接入平台实现互联互通；建设健康巴彦淖尔互联网服务平台，提供18项便民惠民服务。</w:t>
      </w:r>
    </w:p>
    <w:p>
      <w:pPr>
        <w:pStyle w:val="3"/>
        <w:keepNext w:val="0"/>
        <w:keepLines w:val="0"/>
        <w:adjustRightInd w:val="0"/>
        <w:spacing w:line="600" w:lineRule="exact"/>
        <w:ind w:firstLine="643"/>
        <w:rPr>
          <w:rFonts w:ascii="Times New Roman" w:hAnsi="Times New Roman" w:eastAsia="楷体_GB2312" w:cs="Times New Roman"/>
        </w:rPr>
      </w:pPr>
      <w:bookmarkStart w:id="44" w:name="_Toc119179949"/>
      <w:bookmarkStart w:id="45" w:name="_Toc110613633"/>
      <w:bookmarkStart w:id="46" w:name="_Toc102134270"/>
      <w:bookmarkStart w:id="47" w:name="_Toc110018707"/>
      <w:r>
        <w:rPr>
          <w:rFonts w:ascii="Times New Roman" w:hAnsi="Times New Roman" w:eastAsia="楷体_GB2312" w:cs="Times New Roman"/>
        </w:rPr>
        <w:t>（二）“十四五”时期面临的形势与挑战</w:t>
      </w:r>
      <w:bookmarkEnd w:id="44"/>
      <w:bookmarkEnd w:id="45"/>
      <w:bookmarkEnd w:id="46"/>
      <w:bookmarkEnd w:id="47"/>
    </w:p>
    <w:p>
      <w:pPr>
        <w:adjustRightInd w:val="0"/>
        <w:spacing w:line="600" w:lineRule="exact"/>
        <w:ind w:firstLine="640"/>
        <w:rPr>
          <w:rFonts w:ascii="Times New Roman" w:hAnsi="Times New Roman" w:cs="Times New Roman"/>
          <w:color w:val="000000" w:themeColor="text1"/>
          <w:szCs w:val="32"/>
          <w14:textFill>
            <w14:solidFill>
              <w14:schemeClr w14:val="tx1"/>
            </w14:solidFill>
          </w14:textFill>
        </w:rPr>
      </w:pPr>
      <w:r>
        <w:rPr>
          <w:rFonts w:ascii="Times New Roman" w:hAnsi="Times New Roman" w:cs="Times New Roman"/>
          <w:color w:val="000000" w:themeColor="text1"/>
          <w:szCs w:val="32"/>
          <w14:textFill>
            <w14:solidFill>
              <w14:schemeClr w14:val="tx1"/>
            </w14:solidFill>
          </w14:textFill>
        </w:rPr>
        <w:t>“十四五”时期是开启全面建设社会主义现代化国家新征程的第一个五年，随着“健康中国”战略的深入实施，全市经济社会进入绿色高质量发展阶段，坚持以人民为中心的发展思想，做好普惠性、基础性、兜底性民生建设，努力让各族群众的获得感成色更足、幸福感更可持续、安全感更有保障，是当前卫生健康事业面临的新挑战和新发展机遇。当前，随着工业化、城镇化、人口老龄化、疾病谱及生活方式的新变化，卫生健康服务供给总体不足与需求不断增长变化的新矛盾逐渐突出。突发急性传染病传播速度快、波及范围广、影响和危害大，慢性病负担日益沉重，公共卫生安全形势仍然复杂严峻。食药安全、饮水安全、职业安全和生态安全风险日益凸显。全市卫生健康事业发展还面临着一些深层次矛盾和问题。</w:t>
      </w:r>
    </w:p>
    <w:p>
      <w:pPr>
        <w:adjustRightInd w:val="0"/>
        <w:spacing w:line="600" w:lineRule="exact"/>
        <w:ind w:firstLine="643"/>
        <w:rPr>
          <w:rFonts w:ascii="Times New Roman" w:hAnsi="Times New Roman" w:cs="Times New Roman"/>
          <w:color w:val="000000" w:themeColor="text1"/>
          <w:szCs w:val="32"/>
          <w14:textFill>
            <w14:solidFill>
              <w14:schemeClr w14:val="tx1"/>
            </w14:solidFill>
          </w14:textFill>
        </w:rPr>
      </w:pPr>
      <w:r>
        <w:rPr>
          <w:rFonts w:ascii="Times New Roman" w:hAnsi="Times New Roman" w:cs="Times New Roman"/>
          <w:b/>
          <w:bCs/>
          <w:color w:val="000000" w:themeColor="text1"/>
          <w:szCs w:val="32"/>
          <w14:textFill>
            <w14:solidFill>
              <w14:schemeClr w14:val="tx1"/>
            </w14:solidFill>
          </w14:textFill>
        </w:rPr>
        <w:t>一是</w:t>
      </w:r>
      <w:r>
        <w:rPr>
          <w:rFonts w:ascii="Times New Roman" w:hAnsi="Times New Roman" w:cs="Times New Roman"/>
          <w:color w:val="000000" w:themeColor="text1"/>
          <w:szCs w:val="32"/>
          <w14:textFill>
            <w14:solidFill>
              <w14:schemeClr w14:val="tx1"/>
            </w14:solidFill>
          </w14:textFill>
        </w:rPr>
        <w:t>公共卫生体系亟待完善，重大疫情防控救治能力亟待提高，医防协同不充分，平急结合不紧密。</w:t>
      </w:r>
    </w:p>
    <w:p>
      <w:pPr>
        <w:adjustRightInd w:val="0"/>
        <w:spacing w:line="600" w:lineRule="exact"/>
        <w:ind w:firstLine="643"/>
        <w:rPr>
          <w:rFonts w:ascii="Times New Roman" w:hAnsi="Times New Roman" w:cs="Times New Roman"/>
          <w:color w:val="000000" w:themeColor="text1"/>
          <w:szCs w:val="32"/>
          <w14:textFill>
            <w14:solidFill>
              <w14:schemeClr w14:val="tx1"/>
            </w14:solidFill>
          </w14:textFill>
        </w:rPr>
      </w:pPr>
      <w:r>
        <w:rPr>
          <w:rFonts w:ascii="Times New Roman" w:hAnsi="Times New Roman" w:cs="Times New Roman"/>
          <w:b/>
          <w:bCs/>
          <w:color w:val="000000" w:themeColor="text1"/>
          <w:szCs w:val="32"/>
          <w14:textFill>
            <w14:solidFill>
              <w14:schemeClr w14:val="tx1"/>
            </w14:solidFill>
          </w14:textFill>
        </w:rPr>
        <w:t>二是</w:t>
      </w:r>
      <w:r>
        <w:rPr>
          <w:rFonts w:ascii="Times New Roman" w:hAnsi="Times New Roman" w:cs="Times New Roman"/>
          <w:color w:val="000000" w:themeColor="text1"/>
          <w:szCs w:val="32"/>
          <w14:textFill>
            <w14:solidFill>
              <w14:schemeClr w14:val="tx1"/>
            </w14:solidFill>
          </w14:textFill>
        </w:rPr>
        <w:t>区域间、城乡间发展不平衡，医疗卫生资源布局不合理，优质医疗资源相对短缺，基层能力不强，服务供给模式单一，资源利用效率不高等问题长期存在。</w:t>
      </w:r>
    </w:p>
    <w:p>
      <w:pPr>
        <w:adjustRightInd w:val="0"/>
        <w:spacing w:line="600" w:lineRule="exact"/>
        <w:ind w:firstLine="643"/>
        <w:rPr>
          <w:rFonts w:ascii="Times New Roman" w:hAnsi="Times New Roman" w:cs="Times New Roman"/>
          <w:color w:val="000000" w:themeColor="text1"/>
          <w:szCs w:val="32"/>
          <w14:textFill>
            <w14:solidFill>
              <w14:schemeClr w14:val="tx1"/>
            </w14:solidFill>
          </w14:textFill>
        </w:rPr>
      </w:pPr>
      <w:r>
        <w:rPr>
          <w:rFonts w:ascii="Times New Roman" w:hAnsi="Times New Roman" w:cs="Times New Roman"/>
          <w:b/>
          <w:bCs/>
          <w:color w:val="000000" w:themeColor="text1"/>
          <w:szCs w:val="32"/>
          <w14:textFill>
            <w14:solidFill>
              <w14:schemeClr w14:val="tx1"/>
            </w14:solidFill>
          </w14:textFill>
        </w:rPr>
        <w:t>三是</w:t>
      </w:r>
      <w:r>
        <w:rPr>
          <w:rFonts w:ascii="Times New Roman" w:hAnsi="Times New Roman" w:cs="Times New Roman"/>
          <w:color w:val="000000" w:themeColor="text1"/>
          <w:szCs w:val="32"/>
          <w14:textFill>
            <w14:solidFill>
              <w14:schemeClr w14:val="tx1"/>
            </w14:solidFill>
          </w14:textFill>
        </w:rPr>
        <w:t>“一老一小”等重点人群医疗卫生服务供给不足，妇女儿童健康服务、康复护理、心理健康、精神卫生服务和职业病防治等短板明显。</w:t>
      </w:r>
    </w:p>
    <w:p>
      <w:pPr>
        <w:adjustRightInd w:val="0"/>
        <w:spacing w:line="600" w:lineRule="exact"/>
        <w:ind w:firstLine="643"/>
        <w:rPr>
          <w:rFonts w:ascii="Times New Roman" w:hAnsi="Times New Roman" w:cs="Times New Roman"/>
          <w:color w:val="000000" w:themeColor="text1"/>
          <w:szCs w:val="32"/>
          <w14:textFill>
            <w14:solidFill>
              <w14:schemeClr w14:val="tx1"/>
            </w14:solidFill>
          </w14:textFill>
        </w:rPr>
      </w:pPr>
      <w:r>
        <w:rPr>
          <w:rFonts w:ascii="Times New Roman" w:hAnsi="Times New Roman" w:cs="Times New Roman"/>
          <w:b/>
          <w:bCs/>
          <w:color w:val="000000" w:themeColor="text1"/>
          <w:szCs w:val="32"/>
          <w14:textFill>
            <w14:solidFill>
              <w14:schemeClr w14:val="tx1"/>
            </w14:solidFill>
          </w14:textFill>
        </w:rPr>
        <w:t>四是</w:t>
      </w:r>
      <w:r>
        <w:rPr>
          <w:rFonts w:ascii="Times New Roman" w:hAnsi="Times New Roman" w:cs="Times New Roman"/>
          <w:color w:val="000000" w:themeColor="text1"/>
          <w:szCs w:val="32"/>
          <w14:textFill>
            <w14:solidFill>
              <w14:schemeClr w14:val="tx1"/>
            </w14:solidFill>
          </w14:textFill>
        </w:rPr>
        <w:t>深化医改深层次矛盾问题有待进一步解决，“三医联动”改革的合力尚未形成。</w:t>
      </w:r>
    </w:p>
    <w:p>
      <w:pPr>
        <w:adjustRightInd w:val="0"/>
        <w:spacing w:line="600" w:lineRule="exact"/>
        <w:ind w:firstLine="643"/>
        <w:rPr>
          <w:rFonts w:ascii="Times New Roman" w:hAnsi="Times New Roman" w:cs="Times New Roman"/>
          <w:color w:val="000000" w:themeColor="text1"/>
          <w:szCs w:val="32"/>
          <w14:textFill>
            <w14:solidFill>
              <w14:schemeClr w14:val="tx1"/>
            </w14:solidFill>
          </w14:textFill>
        </w:rPr>
      </w:pPr>
      <w:r>
        <w:rPr>
          <w:rFonts w:ascii="Times New Roman" w:hAnsi="Times New Roman" w:cs="Times New Roman"/>
          <w:b/>
          <w:bCs/>
          <w:color w:val="000000" w:themeColor="text1"/>
          <w:szCs w:val="32"/>
          <w14:textFill>
            <w14:solidFill>
              <w14:schemeClr w14:val="tx1"/>
            </w14:solidFill>
          </w14:textFill>
        </w:rPr>
        <w:t>五是</w:t>
      </w:r>
      <w:r>
        <w:rPr>
          <w:rFonts w:ascii="Times New Roman" w:hAnsi="Times New Roman" w:cs="Times New Roman"/>
          <w:color w:val="000000" w:themeColor="text1"/>
          <w:szCs w:val="32"/>
          <w14:textFill>
            <w14:solidFill>
              <w14:schemeClr w14:val="tx1"/>
            </w14:solidFill>
          </w14:textFill>
        </w:rPr>
        <w:t>中医药（蒙医药）传承创新动力不足，发展基础薄弱，特色优势发挥不充分。</w:t>
      </w:r>
    </w:p>
    <w:p>
      <w:pPr>
        <w:adjustRightInd w:val="0"/>
        <w:spacing w:line="600" w:lineRule="exact"/>
        <w:ind w:firstLine="640"/>
        <w:rPr>
          <w:rFonts w:ascii="Times New Roman" w:hAnsi="Times New Roman" w:cs="Times New Roman"/>
          <w:color w:val="000000" w:themeColor="text1"/>
          <w:szCs w:val="32"/>
          <w14:textFill>
            <w14:solidFill>
              <w14:schemeClr w14:val="tx1"/>
            </w14:solidFill>
          </w14:textFill>
        </w:rPr>
      </w:pPr>
      <w:r>
        <w:rPr>
          <w:rFonts w:ascii="Times New Roman" w:hAnsi="Times New Roman" w:cs="Times New Roman"/>
          <w:color w:val="000000" w:themeColor="text1"/>
          <w:szCs w:val="32"/>
          <w14:textFill>
            <w14:solidFill>
              <w14:schemeClr w14:val="tx1"/>
            </w14:solidFill>
          </w14:textFill>
        </w:rPr>
        <w:t>“十四五”时期的卫生健康事业发展，必须适应新形势，聚焦新矛盾，抢抓新机遇，补齐发展短板，更加注重疾病前期预防和健康综合管理，加快从以治病为中心转变为以健康为中心，推动高质量、高效率的可持续发展。</w:t>
      </w:r>
    </w:p>
    <w:p>
      <w:pPr>
        <w:pStyle w:val="2"/>
        <w:keepNext w:val="0"/>
        <w:keepLines w:val="0"/>
        <w:adjustRightInd w:val="0"/>
        <w:spacing w:line="600" w:lineRule="exact"/>
        <w:ind w:firstLine="640"/>
        <w:rPr>
          <w:rFonts w:ascii="Times New Roman" w:hAnsi="Times New Roman" w:cs="Times New Roman"/>
          <w:szCs w:val="32"/>
        </w:rPr>
      </w:pPr>
      <w:bookmarkStart w:id="48" w:name="_Toc110613634"/>
      <w:bookmarkStart w:id="49" w:name="_Toc119179950"/>
      <w:bookmarkStart w:id="50" w:name="_Toc110018708"/>
      <w:bookmarkStart w:id="51" w:name="_Toc102134271"/>
      <w:r>
        <w:rPr>
          <w:rFonts w:ascii="Times New Roman" w:hAnsi="Times New Roman" w:cs="Times New Roman"/>
          <w:szCs w:val="32"/>
        </w:rPr>
        <w:t>二、总体要求</w:t>
      </w:r>
      <w:bookmarkEnd w:id="48"/>
      <w:bookmarkEnd w:id="49"/>
      <w:bookmarkEnd w:id="50"/>
      <w:bookmarkEnd w:id="51"/>
    </w:p>
    <w:p>
      <w:pPr>
        <w:pStyle w:val="3"/>
        <w:keepNext w:val="0"/>
        <w:keepLines w:val="0"/>
        <w:adjustRightInd w:val="0"/>
        <w:spacing w:line="600" w:lineRule="exact"/>
        <w:ind w:firstLine="643"/>
        <w:rPr>
          <w:rFonts w:ascii="Times New Roman" w:hAnsi="Times New Roman" w:eastAsia="楷体_GB2312" w:cs="Times New Roman"/>
        </w:rPr>
      </w:pPr>
      <w:bookmarkStart w:id="52" w:name="_Toc110613635"/>
      <w:bookmarkStart w:id="53" w:name="_Toc119179951"/>
      <w:bookmarkStart w:id="54" w:name="_Toc110018709"/>
      <w:bookmarkStart w:id="55" w:name="_Toc102134272"/>
      <w:r>
        <w:rPr>
          <w:rFonts w:ascii="Times New Roman" w:hAnsi="Times New Roman" w:eastAsia="楷体_GB2312" w:cs="Times New Roman"/>
        </w:rPr>
        <w:t>（一）指导思想</w:t>
      </w:r>
      <w:bookmarkEnd w:id="52"/>
      <w:bookmarkEnd w:id="53"/>
      <w:bookmarkEnd w:id="54"/>
      <w:bookmarkEnd w:id="55"/>
    </w:p>
    <w:p>
      <w:pPr>
        <w:adjustRightInd w:val="0"/>
        <w:spacing w:line="600" w:lineRule="exact"/>
        <w:ind w:firstLine="640"/>
        <w:rPr>
          <w:rFonts w:ascii="Times New Roman" w:hAnsi="Times New Roman" w:cs="Times New Roman"/>
          <w:color w:val="000000" w:themeColor="text1"/>
          <w:szCs w:val="32"/>
          <w14:textFill>
            <w14:solidFill>
              <w14:schemeClr w14:val="tx1"/>
            </w14:solidFill>
          </w14:textFill>
        </w:rPr>
      </w:pPr>
      <w:r>
        <w:rPr>
          <w:rFonts w:ascii="Times New Roman" w:hAnsi="Times New Roman" w:cs="Times New Roman"/>
          <w:color w:val="000000" w:themeColor="text1"/>
          <w:szCs w:val="32"/>
          <w14:textFill>
            <w14:solidFill>
              <w14:schemeClr w14:val="tx1"/>
            </w14:solidFill>
          </w14:textFill>
        </w:rPr>
        <w:t>“十四五”期间，全市卫生健康事业发展以习近平新时代中国特色社会主义思想为指导，深入贯彻党的十九大和十九届历次全会精神，坚持以人民健康为中心的发展思想，坚持创新、协调、绿色、开放、共享五大发展理念，坚持新时代卫生与健康工作方针，以人民群众就近享有基本卫生服务为目标，以服务能力提升为中心，更加注重早期预防和医防协同，更加注重优质扩容和深度下沉，更加注重质量提升和均衡布局，更加注重中西医并重和优势互补，全面落实“健康中国”战略，全面推进卫生健康事业高质量发展，促进“以治病为中心”向“以健康为中心”转变，突出补短板、强弱项、建机制、提质量，持续提供人民群众公平可及、系统连续的健康服务，持续提升全民健康水平。</w:t>
      </w:r>
    </w:p>
    <w:p>
      <w:pPr>
        <w:pStyle w:val="3"/>
        <w:keepNext w:val="0"/>
        <w:keepLines w:val="0"/>
        <w:adjustRightInd w:val="0"/>
        <w:spacing w:line="600" w:lineRule="exact"/>
        <w:ind w:firstLine="643"/>
        <w:rPr>
          <w:rFonts w:ascii="Times New Roman" w:hAnsi="Times New Roman" w:eastAsia="楷体_GB2312" w:cs="Times New Roman"/>
        </w:rPr>
      </w:pPr>
      <w:bookmarkStart w:id="56" w:name="_Toc102134273"/>
      <w:bookmarkStart w:id="57" w:name="_Toc110613636"/>
      <w:bookmarkStart w:id="58" w:name="_Toc119179952"/>
      <w:bookmarkStart w:id="59" w:name="_Toc110018710"/>
      <w:r>
        <w:rPr>
          <w:rFonts w:ascii="Times New Roman" w:hAnsi="Times New Roman" w:eastAsia="楷体_GB2312" w:cs="Times New Roman"/>
        </w:rPr>
        <w:t>（二）发展原则</w:t>
      </w:r>
      <w:bookmarkEnd w:id="56"/>
      <w:bookmarkEnd w:id="57"/>
      <w:bookmarkEnd w:id="58"/>
      <w:bookmarkEnd w:id="59"/>
    </w:p>
    <w:p>
      <w:pPr>
        <w:adjustRightInd w:val="0"/>
        <w:spacing w:line="600" w:lineRule="exact"/>
        <w:ind w:firstLine="643"/>
        <w:rPr>
          <w:rFonts w:ascii="Times New Roman" w:hAnsi="Times New Roman" w:cs="Times New Roman"/>
          <w:color w:val="000000" w:themeColor="text1"/>
          <w:szCs w:val="32"/>
          <w14:textFill>
            <w14:solidFill>
              <w14:schemeClr w14:val="tx1"/>
            </w14:solidFill>
          </w14:textFill>
        </w:rPr>
      </w:pPr>
      <w:r>
        <w:rPr>
          <w:rFonts w:ascii="Times New Roman" w:hAnsi="Times New Roman" w:cs="Times New Roman"/>
          <w:b/>
          <w:bCs/>
          <w:color w:val="000000" w:themeColor="text1"/>
          <w:szCs w:val="32"/>
          <w14:textFill>
            <w14:solidFill>
              <w14:schemeClr w14:val="tx1"/>
            </w14:solidFill>
          </w14:textFill>
        </w:rPr>
        <w:t>——人民至上、健康优先。</w:t>
      </w:r>
      <w:r>
        <w:rPr>
          <w:rFonts w:ascii="Times New Roman" w:hAnsi="Times New Roman" w:cs="Times New Roman"/>
          <w:color w:val="000000" w:themeColor="text1"/>
          <w:szCs w:val="32"/>
          <w14:textFill>
            <w14:solidFill>
              <w14:schemeClr w14:val="tx1"/>
            </w14:solidFill>
          </w14:textFill>
        </w:rPr>
        <w:t>坚持为人民群众健康服务的根本宗旨，一切以解决人民群众主要健康问题为导向，推动以治病为中心向以人民健康为中心转变，努力使人民群众拥有更多的健康获得感。</w:t>
      </w:r>
    </w:p>
    <w:p>
      <w:pPr>
        <w:adjustRightInd w:val="0"/>
        <w:spacing w:line="600" w:lineRule="exact"/>
        <w:ind w:firstLine="643"/>
        <w:rPr>
          <w:rFonts w:ascii="Times New Roman" w:hAnsi="Times New Roman" w:cs="Times New Roman"/>
          <w:color w:val="000000" w:themeColor="text1"/>
          <w:szCs w:val="32"/>
          <w14:textFill>
            <w14:solidFill>
              <w14:schemeClr w14:val="tx1"/>
            </w14:solidFill>
          </w14:textFill>
        </w:rPr>
      </w:pPr>
      <w:r>
        <w:rPr>
          <w:rFonts w:ascii="Times New Roman" w:hAnsi="Times New Roman" w:cs="Times New Roman"/>
          <w:b/>
          <w:bCs/>
          <w:color w:val="000000" w:themeColor="text1"/>
          <w:szCs w:val="32"/>
          <w14:textFill>
            <w14:solidFill>
              <w14:schemeClr w14:val="tx1"/>
            </w14:solidFill>
          </w14:textFill>
        </w:rPr>
        <w:t>——统筹兼顾、突出重点。</w:t>
      </w:r>
      <w:r>
        <w:rPr>
          <w:rFonts w:ascii="Times New Roman" w:hAnsi="Times New Roman" w:cs="Times New Roman"/>
          <w:color w:val="000000" w:themeColor="text1"/>
          <w:szCs w:val="32"/>
          <w14:textFill>
            <w14:solidFill>
              <w14:schemeClr w14:val="tx1"/>
            </w14:solidFill>
          </w14:textFill>
        </w:rPr>
        <w:t>统筹城乡、区域、层级、领域，统筹预防、医疗、康复、健康促进，统筹平时战时，大力加强公共卫生、基层卫生、卫生应急体系建设，弥补发展“短板”，促进均衡发展。</w:t>
      </w:r>
    </w:p>
    <w:p>
      <w:pPr>
        <w:adjustRightInd w:val="0"/>
        <w:spacing w:line="600" w:lineRule="exact"/>
        <w:ind w:firstLine="643"/>
        <w:rPr>
          <w:rFonts w:ascii="Times New Roman" w:hAnsi="Times New Roman" w:cs="Times New Roman"/>
          <w:color w:val="000000" w:themeColor="text1"/>
          <w:szCs w:val="32"/>
          <w14:textFill>
            <w14:solidFill>
              <w14:schemeClr w14:val="tx1"/>
            </w14:solidFill>
          </w14:textFill>
        </w:rPr>
      </w:pPr>
      <w:r>
        <w:rPr>
          <w:rFonts w:ascii="Times New Roman" w:hAnsi="Times New Roman" w:cs="Times New Roman"/>
          <w:b/>
          <w:bCs/>
          <w:color w:val="000000" w:themeColor="text1"/>
          <w:szCs w:val="32"/>
          <w14:textFill>
            <w14:solidFill>
              <w14:schemeClr w14:val="tx1"/>
            </w14:solidFill>
          </w14:textFill>
        </w:rPr>
        <w:t>——人才优先，以用为本。</w:t>
      </w:r>
      <w:r>
        <w:rPr>
          <w:rFonts w:ascii="Times New Roman" w:hAnsi="Times New Roman" w:cs="Times New Roman"/>
          <w:color w:val="000000" w:themeColor="text1"/>
          <w:szCs w:val="32"/>
          <w14:textFill>
            <w14:solidFill>
              <w14:schemeClr w14:val="tx1"/>
            </w14:solidFill>
          </w14:textFill>
        </w:rPr>
        <w:t>把人才作为“第一资源”，把人才队伍建设作为最重要卫生建设项目，坚持“以用为本”，深化人才使用机制改革，为卫生健康事业高质量发展提供人才保障。</w:t>
      </w:r>
    </w:p>
    <w:p>
      <w:pPr>
        <w:adjustRightInd w:val="0"/>
        <w:spacing w:line="600" w:lineRule="exact"/>
        <w:ind w:firstLine="643"/>
        <w:rPr>
          <w:rFonts w:ascii="Times New Roman" w:hAnsi="Times New Roman" w:cs="Times New Roman"/>
          <w:color w:val="000000" w:themeColor="text1"/>
          <w:szCs w:val="32"/>
          <w14:textFill>
            <w14:solidFill>
              <w14:schemeClr w14:val="tx1"/>
            </w14:solidFill>
          </w14:textFill>
        </w:rPr>
      </w:pPr>
      <w:r>
        <w:rPr>
          <w:rFonts w:ascii="Times New Roman" w:hAnsi="Times New Roman" w:cs="Times New Roman"/>
          <w:b/>
          <w:bCs/>
          <w:color w:val="000000" w:themeColor="text1"/>
          <w:szCs w:val="32"/>
          <w14:textFill>
            <w14:solidFill>
              <w14:schemeClr w14:val="tx1"/>
            </w14:solidFill>
          </w14:textFill>
        </w:rPr>
        <w:t>——系统治理、协同共建。</w:t>
      </w:r>
      <w:r>
        <w:rPr>
          <w:rFonts w:ascii="Times New Roman" w:hAnsi="Times New Roman" w:cs="Times New Roman"/>
          <w:color w:val="000000" w:themeColor="text1"/>
          <w:szCs w:val="32"/>
          <w14:textFill>
            <w14:solidFill>
              <w14:schemeClr w14:val="tx1"/>
            </w14:solidFill>
          </w14:textFill>
        </w:rPr>
        <w:t>坚持系统观念，把健康融入所有政策，建立政府各部门协同推进机制，落实个人健康责任，动员全社会参与，加快形成全社会促进健康的大卫生、大健康格局。</w:t>
      </w:r>
    </w:p>
    <w:p>
      <w:pPr>
        <w:adjustRightInd w:val="0"/>
        <w:spacing w:line="600" w:lineRule="exact"/>
        <w:ind w:firstLine="643"/>
        <w:rPr>
          <w:rFonts w:ascii="Times New Roman" w:hAnsi="Times New Roman" w:cs="Times New Roman"/>
          <w:color w:val="000000" w:themeColor="text1"/>
          <w:szCs w:val="32"/>
          <w14:textFill>
            <w14:solidFill>
              <w14:schemeClr w14:val="tx1"/>
            </w14:solidFill>
          </w14:textFill>
        </w:rPr>
      </w:pPr>
      <w:r>
        <w:rPr>
          <w:rFonts w:ascii="Times New Roman" w:hAnsi="Times New Roman" w:cs="Times New Roman"/>
          <w:b/>
          <w:bCs/>
          <w:color w:val="000000" w:themeColor="text1"/>
          <w:szCs w:val="32"/>
          <w14:textFill>
            <w14:solidFill>
              <w14:schemeClr w14:val="tx1"/>
            </w14:solidFill>
          </w14:textFill>
        </w:rPr>
        <w:t>——深化改革，创新驱动。</w:t>
      </w:r>
      <w:r>
        <w:rPr>
          <w:rFonts w:ascii="Times New Roman" w:hAnsi="Times New Roman" w:cs="Times New Roman"/>
          <w:color w:val="000000" w:themeColor="text1"/>
          <w:szCs w:val="32"/>
          <w14:textFill>
            <w14:solidFill>
              <w14:schemeClr w14:val="tx1"/>
            </w14:solidFill>
          </w14:textFill>
        </w:rPr>
        <w:t>把改革作为引领发展第一动力，贯彻发展全过程各领域，通过全方位的协同改革创新，推动卫生发展方式转变，推动卫生健康制度完善，保证卫生健康事业有序发展。</w:t>
      </w:r>
    </w:p>
    <w:p>
      <w:pPr>
        <w:pStyle w:val="3"/>
        <w:keepNext w:val="0"/>
        <w:keepLines w:val="0"/>
        <w:adjustRightInd w:val="0"/>
        <w:spacing w:line="600" w:lineRule="exact"/>
        <w:ind w:firstLine="643"/>
        <w:rPr>
          <w:rFonts w:ascii="Times New Roman" w:hAnsi="Times New Roman" w:eastAsia="楷体_GB2312" w:cs="Times New Roman"/>
        </w:rPr>
      </w:pPr>
      <w:bookmarkStart w:id="60" w:name="_Toc110613637"/>
      <w:bookmarkStart w:id="61" w:name="_Toc102134274"/>
      <w:bookmarkStart w:id="62" w:name="_Toc119179953"/>
      <w:bookmarkStart w:id="63" w:name="_Toc110018711"/>
      <w:r>
        <w:rPr>
          <w:rFonts w:ascii="Times New Roman" w:hAnsi="Times New Roman" w:eastAsia="楷体_GB2312" w:cs="Times New Roman"/>
        </w:rPr>
        <w:t>（三）发展目标</w:t>
      </w:r>
      <w:bookmarkEnd w:id="60"/>
      <w:bookmarkEnd w:id="61"/>
      <w:bookmarkEnd w:id="62"/>
      <w:bookmarkEnd w:id="63"/>
    </w:p>
    <w:p>
      <w:pPr>
        <w:adjustRightInd w:val="0"/>
        <w:spacing w:line="600" w:lineRule="exact"/>
        <w:ind w:firstLine="640"/>
        <w:rPr>
          <w:rFonts w:ascii="Times New Roman" w:hAnsi="Times New Roman" w:cs="Times New Roman"/>
          <w:color w:val="000000" w:themeColor="text1"/>
          <w:szCs w:val="32"/>
          <w14:textFill>
            <w14:solidFill>
              <w14:schemeClr w14:val="tx1"/>
            </w14:solidFill>
          </w14:textFill>
        </w:rPr>
      </w:pPr>
      <w:r>
        <w:rPr>
          <w:rFonts w:ascii="Times New Roman" w:hAnsi="Times New Roman" w:cs="Times New Roman"/>
          <w:color w:val="000000" w:themeColor="text1"/>
          <w:szCs w:val="32"/>
          <w14:textFill>
            <w14:solidFill>
              <w14:schemeClr w14:val="tx1"/>
            </w14:solidFill>
          </w14:textFill>
        </w:rPr>
        <w:t>到2025年，全市“共建共享，全民健康，服务优质可及，保障高效有力”的高质量卫生健康发展格局初步形成。“健康融入所有政策”理念得到深入贯彻，健康生活方式得到普及，健康服务模式和结构实现有效转变；预防为主的方针得到全面落实，公共卫生体系不断壮大，突发公共卫生事件应对能力显著提升；卫生健康治理体系能力适应现代化需求。人民身心健康素质明显提高，人均预期寿命在2025年达到77.6，婴儿死亡率、孕产妇死亡率、5岁以下儿童死亡率逐步降低，人口素质持续改善，居民健康素养水平提高到25%以上，居民主要健康指标优于全国平均水平。</w:t>
      </w:r>
    </w:p>
    <w:p>
      <w:pPr>
        <w:adjustRightInd w:val="0"/>
        <w:spacing w:line="600" w:lineRule="exact"/>
        <w:ind w:firstLine="640"/>
        <w:rPr>
          <w:rFonts w:ascii="Times New Roman" w:hAnsi="Times New Roman" w:cs="Times New Roman"/>
          <w:color w:val="000000" w:themeColor="text1"/>
          <w:szCs w:val="32"/>
          <w14:textFill>
            <w14:solidFill>
              <w14:schemeClr w14:val="tx1"/>
            </w14:solidFill>
          </w14:textFill>
        </w:rPr>
      </w:pPr>
      <w:r>
        <w:rPr>
          <w:rFonts w:ascii="Times New Roman" w:hAnsi="Times New Roman" w:cs="Times New Roman"/>
          <w:color w:val="000000" w:themeColor="text1"/>
          <w:szCs w:val="32"/>
          <w14:textFill>
            <w14:solidFill>
              <w14:schemeClr w14:val="tx1"/>
            </w14:solidFill>
          </w14:textFill>
        </w:rPr>
        <w:t>到2035年，卫生健康体系基本实现现代化，强大公共卫生体系和优质高效整合的医疗卫生服务体系完全建立，健康文明生活方式得到全面普及，人民群众身心健康素质达到全新水平，主要健康指标接近高收入国家平均水平，基本实现健康公平。</w:t>
      </w:r>
    </w:p>
    <w:p>
      <w:pPr>
        <w:spacing w:line="360" w:lineRule="auto"/>
        <w:ind w:firstLine="0" w:firstLineChars="0"/>
        <w:jc w:val="center"/>
        <w:rPr>
          <w:rFonts w:ascii="Times New Roman" w:hAnsi="Times New Roman" w:cs="Times New Roman" w:eastAsiaTheme="minorEastAsia"/>
          <w:b/>
          <w:bCs/>
          <w:color w:val="000000" w:themeColor="text1"/>
          <w14:textFill>
            <w14:solidFill>
              <w14:schemeClr w14:val="tx1"/>
            </w14:solidFill>
          </w14:textFill>
        </w:rPr>
      </w:pPr>
    </w:p>
    <w:p>
      <w:pPr>
        <w:spacing w:line="360" w:lineRule="auto"/>
        <w:ind w:firstLine="0" w:firstLineChars="0"/>
        <w:jc w:val="center"/>
        <w:rPr>
          <w:rFonts w:ascii="Times New Roman" w:hAnsi="Times New Roman" w:cs="Times New Roman" w:eastAsiaTheme="minorEastAsia"/>
          <w:b/>
          <w:bCs/>
          <w:color w:val="000000" w:themeColor="text1"/>
          <w14:textFill>
            <w14:solidFill>
              <w14:schemeClr w14:val="tx1"/>
            </w14:solidFill>
          </w14:textFill>
        </w:rPr>
      </w:pPr>
      <w:r>
        <w:rPr>
          <w:rFonts w:ascii="Times New Roman" w:hAnsi="Times New Roman" w:cs="Times New Roman" w:eastAsiaTheme="minorEastAsia"/>
          <w:b/>
          <w:bCs/>
          <w:color w:val="000000" w:themeColor="text1"/>
          <w14:textFill>
            <w14:solidFill>
              <w14:schemeClr w14:val="tx1"/>
            </w14:solidFill>
          </w14:textFill>
        </w:rPr>
        <w:t>主要发展指标</w:t>
      </w:r>
    </w:p>
    <w:tbl>
      <w:tblPr>
        <w:tblStyle w:val="12"/>
        <w:tblW w:w="9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582"/>
        <w:gridCol w:w="4222"/>
        <w:gridCol w:w="1165"/>
        <w:gridCol w:w="1569"/>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blHeader/>
          <w:jc w:val="center"/>
        </w:trPr>
        <w:tc>
          <w:tcPr>
            <w:tcW w:w="874" w:type="dxa"/>
            <w:vAlign w:val="center"/>
          </w:tcPr>
          <w:p>
            <w:pPr>
              <w:spacing w:line="0" w:lineRule="atLeast"/>
              <w:ind w:firstLine="0" w:firstLineChars="0"/>
              <w:jc w:val="center"/>
              <w:rPr>
                <w:rFonts w:ascii="Times New Roman" w:hAnsi="Times New Roman" w:cs="Times New Roman" w:eastAsiaTheme="majorEastAsia"/>
                <w:b/>
                <w:bCs/>
                <w:color w:val="000000" w:themeColor="text1"/>
                <w:sz w:val="24"/>
                <w:szCs w:val="20"/>
                <w14:textFill>
                  <w14:solidFill>
                    <w14:schemeClr w14:val="tx1"/>
                  </w14:solidFill>
                </w14:textFill>
              </w:rPr>
            </w:pPr>
          </w:p>
        </w:tc>
        <w:tc>
          <w:tcPr>
            <w:tcW w:w="4804" w:type="dxa"/>
            <w:gridSpan w:val="2"/>
            <w:vAlign w:val="center"/>
          </w:tcPr>
          <w:p>
            <w:pPr>
              <w:spacing w:line="0" w:lineRule="atLeast"/>
              <w:ind w:firstLine="0" w:firstLineChars="0"/>
              <w:jc w:val="center"/>
              <w:rPr>
                <w:rFonts w:ascii="Times New Roman" w:hAnsi="Times New Roman" w:cs="Times New Roman" w:eastAsiaTheme="majorEastAsia"/>
                <w:b/>
                <w:bCs/>
                <w:color w:val="000000" w:themeColor="text1"/>
                <w:sz w:val="24"/>
                <w:szCs w:val="20"/>
                <w14:textFill>
                  <w14:solidFill>
                    <w14:schemeClr w14:val="tx1"/>
                  </w14:solidFill>
                </w14:textFill>
              </w:rPr>
            </w:pPr>
            <w:r>
              <w:rPr>
                <w:rFonts w:ascii="Times New Roman" w:hAnsi="Times New Roman" w:cs="Times New Roman" w:eastAsiaTheme="majorEastAsia"/>
                <w:b/>
                <w:bCs/>
                <w:color w:val="000000" w:themeColor="text1"/>
                <w:sz w:val="24"/>
                <w:szCs w:val="20"/>
                <w14:textFill>
                  <w14:solidFill>
                    <w14:schemeClr w14:val="tx1"/>
                  </w14:solidFill>
                </w14:textFill>
              </w:rPr>
              <w:t>主要指标</w:t>
            </w:r>
          </w:p>
        </w:tc>
        <w:tc>
          <w:tcPr>
            <w:tcW w:w="1165" w:type="dxa"/>
            <w:vAlign w:val="center"/>
          </w:tcPr>
          <w:p>
            <w:pPr>
              <w:spacing w:line="0" w:lineRule="atLeast"/>
              <w:ind w:firstLine="0" w:firstLineChars="0"/>
              <w:jc w:val="center"/>
              <w:rPr>
                <w:rFonts w:ascii="Times New Roman" w:hAnsi="Times New Roman" w:cs="Times New Roman" w:eastAsiaTheme="majorEastAsia"/>
                <w:b/>
                <w:bCs/>
                <w:color w:val="000000" w:themeColor="text1"/>
                <w:sz w:val="24"/>
                <w:szCs w:val="20"/>
                <w14:textFill>
                  <w14:solidFill>
                    <w14:schemeClr w14:val="tx1"/>
                  </w14:solidFill>
                </w14:textFill>
              </w:rPr>
            </w:pPr>
            <w:r>
              <w:rPr>
                <w:rFonts w:ascii="Times New Roman" w:hAnsi="Times New Roman" w:cs="Times New Roman" w:eastAsiaTheme="majorEastAsia"/>
                <w:b/>
                <w:bCs/>
                <w:color w:val="000000" w:themeColor="text1"/>
                <w:sz w:val="24"/>
                <w:szCs w:val="20"/>
                <w14:textFill>
                  <w14:solidFill>
                    <w14:schemeClr w14:val="tx1"/>
                  </w14:solidFill>
                </w14:textFill>
              </w:rPr>
              <w:t>2020年</w:t>
            </w:r>
          </w:p>
        </w:tc>
        <w:tc>
          <w:tcPr>
            <w:tcW w:w="1569" w:type="dxa"/>
            <w:vAlign w:val="center"/>
          </w:tcPr>
          <w:p>
            <w:pPr>
              <w:spacing w:line="0" w:lineRule="atLeast"/>
              <w:ind w:firstLine="0" w:firstLineChars="0"/>
              <w:jc w:val="center"/>
              <w:rPr>
                <w:rFonts w:ascii="Times New Roman" w:hAnsi="Times New Roman" w:cs="Times New Roman" w:eastAsiaTheme="majorEastAsia"/>
                <w:b/>
                <w:bCs/>
                <w:color w:val="000000" w:themeColor="text1"/>
                <w:sz w:val="24"/>
                <w:szCs w:val="20"/>
                <w14:textFill>
                  <w14:solidFill>
                    <w14:schemeClr w14:val="tx1"/>
                  </w14:solidFill>
                </w14:textFill>
              </w:rPr>
            </w:pPr>
            <w:r>
              <w:rPr>
                <w:rFonts w:ascii="Times New Roman" w:hAnsi="Times New Roman" w:cs="Times New Roman" w:eastAsiaTheme="majorEastAsia"/>
                <w:b/>
                <w:bCs/>
                <w:color w:val="000000" w:themeColor="text1"/>
                <w:sz w:val="24"/>
                <w:szCs w:val="20"/>
                <w14:textFill>
                  <w14:solidFill>
                    <w14:schemeClr w14:val="tx1"/>
                  </w14:solidFill>
                </w14:textFill>
              </w:rPr>
              <w:t>2025年</w:t>
            </w:r>
          </w:p>
        </w:tc>
        <w:tc>
          <w:tcPr>
            <w:tcW w:w="796" w:type="dxa"/>
            <w:vAlign w:val="center"/>
          </w:tcPr>
          <w:p>
            <w:pPr>
              <w:spacing w:line="0" w:lineRule="atLeast"/>
              <w:ind w:firstLine="0" w:firstLineChars="0"/>
              <w:jc w:val="center"/>
              <w:rPr>
                <w:rFonts w:ascii="Times New Roman" w:hAnsi="Times New Roman" w:cs="Times New Roman" w:eastAsiaTheme="majorEastAsia"/>
                <w:b/>
                <w:bCs/>
                <w:color w:val="000000" w:themeColor="text1"/>
                <w:sz w:val="24"/>
                <w:szCs w:val="20"/>
                <w14:textFill>
                  <w14:solidFill>
                    <w14:schemeClr w14:val="tx1"/>
                  </w14:solidFill>
                </w14:textFill>
              </w:rPr>
            </w:pPr>
            <w:r>
              <w:rPr>
                <w:rFonts w:ascii="Times New Roman" w:hAnsi="Times New Roman" w:cs="Times New Roman" w:eastAsiaTheme="majorEastAsia"/>
                <w:b/>
                <w:bCs/>
                <w:color w:val="000000" w:themeColor="text1"/>
                <w:sz w:val="24"/>
                <w:szCs w:val="20"/>
                <w14:textFill>
                  <w14:solidFill>
                    <w14:schemeClr w14:val="tx1"/>
                  </w14:solidFill>
                </w14:textFill>
              </w:rPr>
              <w:t>指标</w:t>
            </w:r>
          </w:p>
          <w:p>
            <w:pPr>
              <w:spacing w:line="0" w:lineRule="atLeast"/>
              <w:ind w:firstLine="0" w:firstLineChars="0"/>
              <w:jc w:val="center"/>
              <w:rPr>
                <w:rFonts w:ascii="Times New Roman" w:hAnsi="Times New Roman" w:cs="Times New Roman" w:eastAsiaTheme="majorEastAsia"/>
                <w:b/>
                <w:bCs/>
                <w:color w:val="000000" w:themeColor="text1"/>
                <w:sz w:val="24"/>
                <w:szCs w:val="20"/>
                <w14:textFill>
                  <w14:solidFill>
                    <w14:schemeClr w14:val="tx1"/>
                  </w14:solidFill>
                </w14:textFill>
              </w:rPr>
            </w:pPr>
            <w:r>
              <w:rPr>
                <w:rFonts w:ascii="Times New Roman" w:hAnsi="Times New Roman" w:cs="Times New Roman" w:eastAsiaTheme="majorEastAsia"/>
                <w:b/>
                <w:bCs/>
                <w:color w:val="000000" w:themeColor="text1"/>
                <w:sz w:val="24"/>
                <w:szCs w:val="20"/>
                <w14:textFill>
                  <w14:solidFill>
                    <w14:schemeClr w14:val="tx1"/>
                  </w14:solidFill>
                </w14:textFill>
              </w:rPr>
              <w:t>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74" w:type="dxa"/>
            <w:vMerge w:val="restart"/>
            <w:vAlign w:val="center"/>
          </w:tcPr>
          <w:p>
            <w:pPr>
              <w:spacing w:line="340" w:lineRule="exact"/>
              <w:ind w:firstLine="0" w:firstLineChars="0"/>
              <w:jc w:val="center"/>
              <w:rPr>
                <w:rFonts w:ascii="Times New Roman" w:hAnsi="Times New Roman" w:cs="Times New Roman" w:eastAsiaTheme="majorEastAsia"/>
                <w:color w:val="000000" w:themeColor="text1"/>
                <w:sz w:val="24"/>
                <w:szCs w:val="20"/>
                <w14:textFill>
                  <w14:solidFill>
                    <w14:schemeClr w14:val="tx1"/>
                  </w14:solidFill>
                </w14:textFill>
              </w:rPr>
            </w:pPr>
            <w:r>
              <w:rPr>
                <w:rFonts w:ascii="Times New Roman" w:hAnsi="Times New Roman" w:cs="Times New Roman" w:eastAsiaTheme="majorEastAsia"/>
                <w:color w:val="000000" w:themeColor="text1"/>
                <w:sz w:val="24"/>
                <w:szCs w:val="20"/>
                <w14:textFill>
                  <w14:solidFill>
                    <w14:schemeClr w14:val="tx1"/>
                  </w14:solidFill>
                </w14:textFill>
              </w:rPr>
              <w:t>健康</w:t>
            </w:r>
          </w:p>
          <w:p>
            <w:pPr>
              <w:spacing w:line="340" w:lineRule="exact"/>
              <w:ind w:firstLine="0" w:firstLineChars="0"/>
              <w:jc w:val="center"/>
              <w:rPr>
                <w:rFonts w:ascii="Times New Roman" w:hAnsi="Times New Roman" w:cs="Times New Roman" w:eastAsiaTheme="majorEastAsia"/>
                <w:color w:val="000000" w:themeColor="text1"/>
                <w:sz w:val="24"/>
                <w:szCs w:val="20"/>
                <w14:textFill>
                  <w14:solidFill>
                    <w14:schemeClr w14:val="tx1"/>
                  </w14:solidFill>
                </w14:textFill>
              </w:rPr>
            </w:pPr>
            <w:r>
              <w:rPr>
                <w:rFonts w:ascii="Times New Roman" w:hAnsi="Times New Roman" w:cs="Times New Roman" w:eastAsiaTheme="majorEastAsia"/>
                <w:color w:val="000000" w:themeColor="text1"/>
                <w:sz w:val="24"/>
                <w:szCs w:val="20"/>
                <w14:textFill>
                  <w14:solidFill>
                    <w14:schemeClr w14:val="tx1"/>
                  </w14:solidFill>
                </w14:textFill>
              </w:rPr>
              <w:t>水 平</w:t>
            </w:r>
          </w:p>
        </w:tc>
        <w:tc>
          <w:tcPr>
            <w:tcW w:w="582" w:type="dxa"/>
            <w:vAlign w:val="center"/>
          </w:tcPr>
          <w:p>
            <w:pPr>
              <w:spacing w:line="340" w:lineRule="exact"/>
              <w:ind w:firstLine="0" w:firstLineChars="0"/>
              <w:rPr>
                <w:rFonts w:ascii="Times New Roman" w:hAnsi="Times New Roman" w:cs="Times New Roman" w:eastAsiaTheme="majorEastAsia"/>
                <w:color w:val="000000" w:themeColor="text1"/>
                <w:sz w:val="24"/>
                <w:szCs w:val="20"/>
                <w14:textFill>
                  <w14:solidFill>
                    <w14:schemeClr w14:val="tx1"/>
                  </w14:solidFill>
                </w14:textFill>
              </w:rPr>
            </w:pPr>
            <w:r>
              <w:rPr>
                <w:rFonts w:ascii="Times New Roman" w:hAnsi="Times New Roman" w:cs="Times New Roman" w:eastAsiaTheme="majorEastAsia"/>
                <w:color w:val="000000" w:themeColor="text1"/>
                <w:sz w:val="24"/>
                <w:szCs w:val="20"/>
                <w14:textFill>
                  <w14:solidFill>
                    <w14:schemeClr w14:val="tx1"/>
                  </w14:solidFill>
                </w14:textFill>
              </w:rPr>
              <w:t>1</w:t>
            </w:r>
          </w:p>
        </w:tc>
        <w:tc>
          <w:tcPr>
            <w:tcW w:w="4222" w:type="dxa"/>
            <w:vAlign w:val="center"/>
          </w:tcPr>
          <w:p>
            <w:pPr>
              <w:spacing w:line="340" w:lineRule="exact"/>
              <w:ind w:firstLine="0" w:firstLineChars="0"/>
              <w:rPr>
                <w:rFonts w:ascii="Times New Roman" w:hAnsi="Times New Roman" w:cs="Times New Roman" w:eastAsiaTheme="majorEastAsia"/>
                <w:color w:val="000000" w:themeColor="text1"/>
                <w:sz w:val="24"/>
                <w:szCs w:val="20"/>
                <w14:textFill>
                  <w14:solidFill>
                    <w14:schemeClr w14:val="tx1"/>
                  </w14:solidFill>
                </w14:textFill>
              </w:rPr>
            </w:pPr>
            <w:r>
              <w:rPr>
                <w:rFonts w:ascii="Times New Roman" w:hAnsi="Times New Roman" w:cs="Times New Roman" w:eastAsiaTheme="majorEastAsia"/>
                <w:color w:val="000000" w:themeColor="text1"/>
                <w:sz w:val="24"/>
                <w:szCs w:val="20"/>
                <w14:textFill>
                  <w14:solidFill>
                    <w14:schemeClr w14:val="tx1"/>
                  </w14:solidFill>
                </w14:textFill>
              </w:rPr>
              <w:t>人均预期寿命（岁）</w:t>
            </w:r>
          </w:p>
        </w:tc>
        <w:tc>
          <w:tcPr>
            <w:tcW w:w="1165" w:type="dxa"/>
            <w:vAlign w:val="center"/>
          </w:tcPr>
          <w:p>
            <w:pPr>
              <w:spacing w:line="340" w:lineRule="exact"/>
              <w:ind w:firstLine="0" w:firstLineChars="0"/>
              <w:rPr>
                <w:rFonts w:ascii="Times New Roman" w:hAnsi="Times New Roman" w:cs="Times New Roman" w:eastAsiaTheme="majorEastAsia"/>
                <w:color w:val="000000" w:themeColor="text1"/>
                <w:sz w:val="24"/>
                <w:szCs w:val="20"/>
                <w14:textFill>
                  <w14:solidFill>
                    <w14:schemeClr w14:val="tx1"/>
                  </w14:solidFill>
                </w14:textFill>
              </w:rPr>
            </w:pPr>
            <w:r>
              <w:rPr>
                <w:rFonts w:ascii="Times New Roman" w:hAnsi="Times New Roman" w:cs="Times New Roman" w:eastAsiaTheme="majorEastAsia"/>
                <w:color w:val="000000" w:themeColor="text1"/>
                <w:sz w:val="24"/>
                <w:szCs w:val="20"/>
                <w14:textFill>
                  <w14:solidFill>
                    <w14:schemeClr w14:val="tx1"/>
                  </w14:solidFill>
                </w14:textFill>
              </w:rPr>
              <w:t>77.51</w:t>
            </w:r>
          </w:p>
        </w:tc>
        <w:tc>
          <w:tcPr>
            <w:tcW w:w="1569" w:type="dxa"/>
            <w:vAlign w:val="center"/>
          </w:tcPr>
          <w:p>
            <w:pPr>
              <w:spacing w:line="340" w:lineRule="exact"/>
              <w:ind w:firstLine="0" w:firstLineChars="0"/>
              <w:rPr>
                <w:rFonts w:ascii="Times New Roman" w:hAnsi="Times New Roman" w:cs="Times New Roman" w:eastAsiaTheme="majorEastAsia"/>
                <w:color w:val="000000" w:themeColor="text1"/>
                <w:sz w:val="24"/>
                <w:szCs w:val="20"/>
                <w14:textFill>
                  <w14:solidFill>
                    <w14:schemeClr w14:val="tx1"/>
                  </w14:solidFill>
                </w14:textFill>
              </w:rPr>
            </w:pPr>
            <w:r>
              <w:rPr>
                <w:rFonts w:ascii="Times New Roman" w:hAnsi="Times New Roman" w:cs="Times New Roman" w:eastAsiaTheme="majorEastAsia"/>
                <w:color w:val="000000" w:themeColor="text1"/>
                <w:sz w:val="24"/>
                <w:szCs w:val="20"/>
                <w14:textFill>
                  <w14:solidFill>
                    <w14:schemeClr w14:val="tx1"/>
                  </w14:solidFill>
                </w14:textFill>
              </w:rPr>
              <w:t>77.6</w:t>
            </w:r>
          </w:p>
        </w:tc>
        <w:tc>
          <w:tcPr>
            <w:tcW w:w="796" w:type="dxa"/>
            <w:vAlign w:val="center"/>
          </w:tcPr>
          <w:p>
            <w:pPr>
              <w:spacing w:line="340" w:lineRule="exact"/>
              <w:ind w:firstLine="0" w:firstLineChars="0"/>
              <w:rPr>
                <w:rFonts w:ascii="Times New Roman" w:hAnsi="Times New Roman" w:cs="Times New Roman" w:eastAsiaTheme="majorEastAsia"/>
                <w:color w:val="000000" w:themeColor="text1"/>
                <w:sz w:val="24"/>
                <w:szCs w:val="20"/>
                <w14:textFill>
                  <w14:solidFill>
                    <w14:schemeClr w14:val="tx1"/>
                  </w14:solidFill>
                </w14:textFill>
              </w:rPr>
            </w:pPr>
            <w:r>
              <w:rPr>
                <w:rFonts w:ascii="Times New Roman" w:hAnsi="Times New Roman" w:cs="Times New Roman" w:eastAsiaTheme="majorEastAsia"/>
                <w:color w:val="000000" w:themeColor="text1"/>
                <w:sz w:val="24"/>
                <w:szCs w:val="20"/>
                <w14:textFill>
                  <w14:solidFill>
                    <w14:schemeClr w14:val="tx1"/>
                  </w14:solidFill>
                </w14:textFill>
              </w:rPr>
              <w:t>预期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74" w:type="dxa"/>
            <w:vMerge w:val="continue"/>
            <w:vAlign w:val="center"/>
          </w:tcPr>
          <w:p>
            <w:pPr>
              <w:spacing w:line="340" w:lineRule="exact"/>
              <w:ind w:firstLine="0" w:firstLineChars="0"/>
              <w:jc w:val="center"/>
              <w:rPr>
                <w:rFonts w:ascii="Times New Roman" w:hAnsi="Times New Roman" w:cs="Times New Roman" w:eastAsiaTheme="majorEastAsia"/>
                <w:color w:val="000000" w:themeColor="text1"/>
                <w:sz w:val="24"/>
                <w:szCs w:val="20"/>
                <w14:textFill>
                  <w14:solidFill>
                    <w14:schemeClr w14:val="tx1"/>
                  </w14:solidFill>
                </w14:textFill>
              </w:rPr>
            </w:pPr>
          </w:p>
        </w:tc>
        <w:tc>
          <w:tcPr>
            <w:tcW w:w="582" w:type="dxa"/>
            <w:vAlign w:val="center"/>
          </w:tcPr>
          <w:p>
            <w:pPr>
              <w:spacing w:line="340" w:lineRule="exact"/>
              <w:ind w:firstLine="0" w:firstLineChars="0"/>
              <w:rPr>
                <w:rFonts w:ascii="Times New Roman" w:hAnsi="Times New Roman" w:cs="Times New Roman" w:eastAsiaTheme="majorEastAsia"/>
                <w:color w:val="000000" w:themeColor="text1"/>
                <w:sz w:val="24"/>
                <w:szCs w:val="20"/>
                <w14:textFill>
                  <w14:solidFill>
                    <w14:schemeClr w14:val="tx1"/>
                  </w14:solidFill>
                </w14:textFill>
              </w:rPr>
            </w:pPr>
            <w:r>
              <w:rPr>
                <w:rFonts w:ascii="Times New Roman" w:hAnsi="Times New Roman" w:cs="Times New Roman" w:eastAsiaTheme="majorEastAsia"/>
                <w:color w:val="000000" w:themeColor="text1"/>
                <w:sz w:val="24"/>
                <w:szCs w:val="20"/>
                <w14:textFill>
                  <w14:solidFill>
                    <w14:schemeClr w14:val="tx1"/>
                  </w14:solidFill>
                </w14:textFill>
              </w:rPr>
              <w:t>2</w:t>
            </w:r>
          </w:p>
        </w:tc>
        <w:tc>
          <w:tcPr>
            <w:tcW w:w="4222" w:type="dxa"/>
            <w:vAlign w:val="center"/>
          </w:tcPr>
          <w:p>
            <w:pPr>
              <w:spacing w:line="340" w:lineRule="exact"/>
              <w:ind w:firstLine="0" w:firstLineChars="0"/>
              <w:rPr>
                <w:rFonts w:ascii="Times New Roman" w:hAnsi="Times New Roman" w:cs="Times New Roman" w:eastAsiaTheme="majorEastAsia"/>
                <w:color w:val="000000" w:themeColor="text1"/>
                <w:sz w:val="24"/>
                <w:szCs w:val="20"/>
                <w14:textFill>
                  <w14:solidFill>
                    <w14:schemeClr w14:val="tx1"/>
                  </w14:solidFill>
                </w14:textFill>
              </w:rPr>
            </w:pPr>
            <w:r>
              <w:rPr>
                <w:rFonts w:ascii="Times New Roman" w:hAnsi="Times New Roman" w:cs="Times New Roman" w:eastAsiaTheme="majorEastAsia"/>
                <w:color w:val="000000" w:themeColor="text1"/>
                <w:sz w:val="24"/>
                <w:szCs w:val="20"/>
                <w14:textFill>
                  <w14:solidFill>
                    <w14:schemeClr w14:val="tx1"/>
                  </w14:solidFill>
                </w14:textFill>
              </w:rPr>
              <w:t>婴儿死亡率（‰）</w:t>
            </w:r>
          </w:p>
        </w:tc>
        <w:tc>
          <w:tcPr>
            <w:tcW w:w="1165" w:type="dxa"/>
            <w:vAlign w:val="center"/>
          </w:tcPr>
          <w:p>
            <w:pPr>
              <w:spacing w:line="340" w:lineRule="exact"/>
              <w:ind w:firstLine="0" w:firstLineChars="0"/>
              <w:rPr>
                <w:rFonts w:ascii="Times New Roman" w:hAnsi="Times New Roman" w:cs="Times New Roman" w:eastAsiaTheme="majorEastAsia"/>
                <w:color w:val="000000" w:themeColor="text1"/>
                <w:sz w:val="24"/>
                <w:szCs w:val="20"/>
                <w14:textFill>
                  <w14:solidFill>
                    <w14:schemeClr w14:val="tx1"/>
                  </w14:solidFill>
                </w14:textFill>
              </w:rPr>
            </w:pPr>
            <w:r>
              <w:rPr>
                <w:rFonts w:ascii="Times New Roman" w:hAnsi="Times New Roman" w:cs="Times New Roman" w:eastAsiaTheme="majorEastAsia"/>
                <w:color w:val="000000" w:themeColor="text1"/>
                <w:sz w:val="24"/>
                <w:szCs w:val="20"/>
                <w14:textFill>
                  <w14:solidFill>
                    <w14:schemeClr w14:val="tx1"/>
                  </w14:solidFill>
                </w14:textFill>
              </w:rPr>
              <w:t>3.88</w:t>
            </w:r>
          </w:p>
        </w:tc>
        <w:tc>
          <w:tcPr>
            <w:tcW w:w="1569" w:type="dxa"/>
            <w:vAlign w:val="center"/>
          </w:tcPr>
          <w:p>
            <w:pPr>
              <w:spacing w:line="340" w:lineRule="exact"/>
              <w:ind w:firstLine="0" w:firstLineChars="0"/>
              <w:rPr>
                <w:rFonts w:ascii="Times New Roman" w:hAnsi="Times New Roman" w:cs="Times New Roman" w:eastAsiaTheme="majorEastAsia"/>
                <w:color w:val="000000" w:themeColor="text1"/>
                <w:sz w:val="24"/>
                <w:szCs w:val="20"/>
                <w14:textFill>
                  <w14:solidFill>
                    <w14:schemeClr w14:val="tx1"/>
                  </w14:solidFill>
                </w14:textFill>
              </w:rPr>
            </w:pPr>
            <w:r>
              <w:rPr>
                <w:rFonts w:ascii="Times New Roman" w:hAnsi="Times New Roman" w:cs="Times New Roman" w:eastAsiaTheme="majorEastAsia"/>
                <w:color w:val="000000" w:themeColor="text1"/>
                <w:sz w:val="24"/>
                <w:szCs w:val="20"/>
                <w14:textFill>
                  <w14:solidFill>
                    <w14:schemeClr w14:val="tx1"/>
                  </w14:solidFill>
                </w14:textFill>
              </w:rPr>
              <w:t>＜10</w:t>
            </w:r>
          </w:p>
        </w:tc>
        <w:tc>
          <w:tcPr>
            <w:tcW w:w="796" w:type="dxa"/>
            <w:vAlign w:val="center"/>
          </w:tcPr>
          <w:p>
            <w:pPr>
              <w:spacing w:line="340" w:lineRule="exact"/>
              <w:ind w:firstLine="0" w:firstLineChars="0"/>
              <w:rPr>
                <w:rFonts w:ascii="Times New Roman" w:hAnsi="Times New Roman" w:cs="Times New Roman" w:eastAsiaTheme="majorEastAsia"/>
                <w:color w:val="000000" w:themeColor="text1"/>
                <w:sz w:val="24"/>
                <w:szCs w:val="20"/>
                <w14:textFill>
                  <w14:solidFill>
                    <w14:schemeClr w14:val="tx1"/>
                  </w14:solidFill>
                </w14:textFill>
              </w:rPr>
            </w:pPr>
            <w:r>
              <w:rPr>
                <w:rFonts w:ascii="Times New Roman" w:hAnsi="Times New Roman" w:cs="Times New Roman" w:eastAsiaTheme="majorEastAsia"/>
                <w:color w:val="000000" w:themeColor="text1"/>
                <w:sz w:val="24"/>
                <w:szCs w:val="20"/>
                <w14:textFill>
                  <w14:solidFill>
                    <w14:schemeClr w14:val="tx1"/>
                  </w14:solidFill>
                </w14:textFill>
              </w:rPr>
              <w:t>预期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74" w:type="dxa"/>
            <w:vMerge w:val="continue"/>
            <w:vAlign w:val="center"/>
          </w:tcPr>
          <w:p>
            <w:pPr>
              <w:spacing w:line="340" w:lineRule="exact"/>
              <w:ind w:firstLine="0" w:firstLineChars="0"/>
              <w:jc w:val="center"/>
              <w:rPr>
                <w:rFonts w:ascii="Times New Roman" w:hAnsi="Times New Roman" w:cs="Times New Roman" w:eastAsiaTheme="majorEastAsia"/>
                <w:color w:val="000000" w:themeColor="text1"/>
                <w:sz w:val="24"/>
                <w:szCs w:val="20"/>
                <w14:textFill>
                  <w14:solidFill>
                    <w14:schemeClr w14:val="tx1"/>
                  </w14:solidFill>
                </w14:textFill>
              </w:rPr>
            </w:pPr>
          </w:p>
        </w:tc>
        <w:tc>
          <w:tcPr>
            <w:tcW w:w="582" w:type="dxa"/>
            <w:vAlign w:val="center"/>
          </w:tcPr>
          <w:p>
            <w:pPr>
              <w:spacing w:line="340" w:lineRule="exact"/>
              <w:ind w:firstLine="0" w:firstLineChars="0"/>
              <w:rPr>
                <w:rFonts w:ascii="Times New Roman" w:hAnsi="Times New Roman" w:cs="Times New Roman" w:eastAsiaTheme="majorEastAsia"/>
                <w:color w:val="000000" w:themeColor="text1"/>
                <w:sz w:val="24"/>
                <w:szCs w:val="20"/>
                <w14:textFill>
                  <w14:solidFill>
                    <w14:schemeClr w14:val="tx1"/>
                  </w14:solidFill>
                </w14:textFill>
              </w:rPr>
            </w:pPr>
            <w:r>
              <w:rPr>
                <w:rFonts w:ascii="Times New Roman" w:hAnsi="Times New Roman" w:cs="Times New Roman" w:eastAsiaTheme="majorEastAsia"/>
                <w:color w:val="000000" w:themeColor="text1"/>
                <w:sz w:val="24"/>
                <w:szCs w:val="20"/>
                <w14:textFill>
                  <w14:solidFill>
                    <w14:schemeClr w14:val="tx1"/>
                  </w14:solidFill>
                </w14:textFill>
              </w:rPr>
              <w:t>3</w:t>
            </w:r>
          </w:p>
        </w:tc>
        <w:tc>
          <w:tcPr>
            <w:tcW w:w="4222" w:type="dxa"/>
            <w:vAlign w:val="center"/>
          </w:tcPr>
          <w:p>
            <w:pPr>
              <w:spacing w:line="340" w:lineRule="exact"/>
              <w:ind w:firstLine="0" w:firstLineChars="0"/>
              <w:rPr>
                <w:rFonts w:ascii="Times New Roman" w:hAnsi="Times New Roman" w:cs="Times New Roman" w:eastAsiaTheme="majorEastAsia"/>
                <w:color w:val="000000" w:themeColor="text1"/>
                <w:sz w:val="24"/>
                <w:szCs w:val="20"/>
                <w14:textFill>
                  <w14:solidFill>
                    <w14:schemeClr w14:val="tx1"/>
                  </w14:solidFill>
                </w14:textFill>
              </w:rPr>
            </w:pPr>
            <w:r>
              <w:rPr>
                <w:rFonts w:ascii="Times New Roman" w:hAnsi="Times New Roman" w:cs="Times New Roman" w:eastAsiaTheme="majorEastAsia"/>
                <w:color w:val="000000" w:themeColor="text1"/>
                <w:sz w:val="24"/>
                <w:szCs w:val="20"/>
                <w14:textFill>
                  <w14:solidFill>
                    <w14:schemeClr w14:val="tx1"/>
                  </w14:solidFill>
                </w14:textFill>
              </w:rPr>
              <w:t>5岁以下儿童死亡率（‰）</w:t>
            </w:r>
          </w:p>
        </w:tc>
        <w:tc>
          <w:tcPr>
            <w:tcW w:w="1165" w:type="dxa"/>
            <w:vAlign w:val="center"/>
          </w:tcPr>
          <w:p>
            <w:pPr>
              <w:spacing w:line="340" w:lineRule="exact"/>
              <w:ind w:firstLine="0" w:firstLineChars="0"/>
              <w:rPr>
                <w:rFonts w:ascii="Times New Roman" w:hAnsi="Times New Roman" w:cs="Times New Roman" w:eastAsiaTheme="majorEastAsia"/>
                <w:color w:val="000000" w:themeColor="text1"/>
                <w:sz w:val="24"/>
                <w:szCs w:val="20"/>
                <w14:textFill>
                  <w14:solidFill>
                    <w14:schemeClr w14:val="tx1"/>
                  </w14:solidFill>
                </w14:textFill>
              </w:rPr>
            </w:pPr>
            <w:r>
              <w:rPr>
                <w:rFonts w:ascii="Times New Roman" w:hAnsi="Times New Roman" w:cs="Times New Roman" w:eastAsiaTheme="majorEastAsia"/>
                <w:color w:val="000000" w:themeColor="text1"/>
                <w:sz w:val="24"/>
                <w:szCs w:val="20"/>
                <w14:textFill>
                  <w14:solidFill>
                    <w14:schemeClr w14:val="tx1"/>
                  </w14:solidFill>
                </w14:textFill>
              </w:rPr>
              <w:t>5.21</w:t>
            </w:r>
          </w:p>
        </w:tc>
        <w:tc>
          <w:tcPr>
            <w:tcW w:w="1569" w:type="dxa"/>
            <w:vAlign w:val="center"/>
          </w:tcPr>
          <w:p>
            <w:pPr>
              <w:spacing w:line="340" w:lineRule="exact"/>
              <w:ind w:firstLine="0" w:firstLineChars="0"/>
              <w:rPr>
                <w:rFonts w:ascii="Times New Roman" w:hAnsi="Times New Roman" w:cs="Times New Roman" w:eastAsiaTheme="majorEastAsia"/>
                <w:color w:val="000000" w:themeColor="text1"/>
                <w:sz w:val="24"/>
                <w:szCs w:val="20"/>
                <w14:textFill>
                  <w14:solidFill>
                    <w14:schemeClr w14:val="tx1"/>
                  </w14:solidFill>
                </w14:textFill>
              </w:rPr>
            </w:pPr>
            <w:r>
              <w:rPr>
                <w:rFonts w:ascii="Times New Roman" w:hAnsi="Times New Roman" w:cs="Times New Roman" w:eastAsiaTheme="majorEastAsia"/>
                <w:color w:val="000000" w:themeColor="text1"/>
                <w:sz w:val="24"/>
                <w:szCs w:val="20"/>
                <w14:textFill>
                  <w14:solidFill>
                    <w14:schemeClr w14:val="tx1"/>
                  </w14:solidFill>
                </w14:textFill>
              </w:rPr>
              <w:t>＜10</w:t>
            </w:r>
          </w:p>
        </w:tc>
        <w:tc>
          <w:tcPr>
            <w:tcW w:w="796" w:type="dxa"/>
            <w:vAlign w:val="center"/>
          </w:tcPr>
          <w:p>
            <w:pPr>
              <w:spacing w:line="340" w:lineRule="exact"/>
              <w:ind w:firstLine="0" w:firstLineChars="0"/>
              <w:rPr>
                <w:rFonts w:ascii="Times New Roman" w:hAnsi="Times New Roman" w:cs="Times New Roman" w:eastAsiaTheme="majorEastAsia"/>
                <w:color w:val="000000" w:themeColor="text1"/>
                <w:sz w:val="24"/>
                <w:szCs w:val="20"/>
                <w14:textFill>
                  <w14:solidFill>
                    <w14:schemeClr w14:val="tx1"/>
                  </w14:solidFill>
                </w14:textFill>
              </w:rPr>
            </w:pPr>
            <w:r>
              <w:rPr>
                <w:rFonts w:ascii="Times New Roman" w:hAnsi="Times New Roman" w:cs="Times New Roman" w:eastAsiaTheme="majorEastAsia"/>
                <w:color w:val="000000" w:themeColor="text1"/>
                <w:sz w:val="24"/>
                <w:szCs w:val="20"/>
                <w14:textFill>
                  <w14:solidFill>
                    <w14:schemeClr w14:val="tx1"/>
                  </w14:solidFill>
                </w14:textFill>
              </w:rPr>
              <w:t>预期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74" w:type="dxa"/>
            <w:vMerge w:val="continue"/>
            <w:vAlign w:val="center"/>
          </w:tcPr>
          <w:p>
            <w:pPr>
              <w:spacing w:line="340" w:lineRule="exact"/>
              <w:ind w:firstLine="0" w:firstLineChars="0"/>
              <w:jc w:val="center"/>
              <w:rPr>
                <w:rFonts w:ascii="Times New Roman" w:hAnsi="Times New Roman" w:cs="Times New Roman" w:eastAsiaTheme="majorEastAsia"/>
                <w:color w:val="000000" w:themeColor="text1"/>
                <w:sz w:val="24"/>
                <w:szCs w:val="20"/>
                <w14:textFill>
                  <w14:solidFill>
                    <w14:schemeClr w14:val="tx1"/>
                  </w14:solidFill>
                </w14:textFill>
              </w:rPr>
            </w:pPr>
          </w:p>
        </w:tc>
        <w:tc>
          <w:tcPr>
            <w:tcW w:w="582" w:type="dxa"/>
            <w:vAlign w:val="center"/>
          </w:tcPr>
          <w:p>
            <w:pPr>
              <w:spacing w:line="340" w:lineRule="exact"/>
              <w:ind w:firstLine="0" w:firstLineChars="0"/>
              <w:rPr>
                <w:rFonts w:ascii="Times New Roman" w:hAnsi="Times New Roman" w:cs="Times New Roman" w:eastAsiaTheme="majorEastAsia"/>
                <w:color w:val="000000" w:themeColor="text1"/>
                <w:sz w:val="24"/>
                <w:szCs w:val="20"/>
                <w14:textFill>
                  <w14:solidFill>
                    <w14:schemeClr w14:val="tx1"/>
                  </w14:solidFill>
                </w14:textFill>
              </w:rPr>
            </w:pPr>
            <w:r>
              <w:rPr>
                <w:rFonts w:ascii="Times New Roman" w:hAnsi="Times New Roman" w:cs="Times New Roman" w:eastAsiaTheme="majorEastAsia"/>
                <w:color w:val="000000" w:themeColor="text1"/>
                <w:sz w:val="24"/>
                <w:szCs w:val="20"/>
                <w14:textFill>
                  <w14:solidFill>
                    <w14:schemeClr w14:val="tx1"/>
                  </w14:solidFill>
                </w14:textFill>
              </w:rPr>
              <w:t>4</w:t>
            </w:r>
          </w:p>
        </w:tc>
        <w:tc>
          <w:tcPr>
            <w:tcW w:w="4222" w:type="dxa"/>
            <w:vAlign w:val="center"/>
          </w:tcPr>
          <w:p>
            <w:pPr>
              <w:spacing w:line="340" w:lineRule="exact"/>
              <w:ind w:firstLine="0" w:firstLineChars="0"/>
              <w:rPr>
                <w:rFonts w:ascii="Times New Roman" w:hAnsi="Times New Roman" w:cs="Times New Roman" w:eastAsiaTheme="majorEastAsia"/>
                <w:color w:val="000000" w:themeColor="text1"/>
                <w:sz w:val="24"/>
                <w:szCs w:val="20"/>
                <w14:textFill>
                  <w14:solidFill>
                    <w14:schemeClr w14:val="tx1"/>
                  </w14:solidFill>
                </w14:textFill>
              </w:rPr>
            </w:pPr>
            <w:r>
              <w:rPr>
                <w:rFonts w:ascii="Times New Roman" w:hAnsi="Times New Roman" w:cs="Times New Roman" w:eastAsiaTheme="majorEastAsia"/>
                <w:color w:val="000000" w:themeColor="text1"/>
                <w:sz w:val="24"/>
                <w:szCs w:val="20"/>
                <w14:textFill>
                  <w14:solidFill>
                    <w14:schemeClr w14:val="tx1"/>
                  </w14:solidFill>
                </w14:textFill>
              </w:rPr>
              <w:t>孕产妇死亡率（/10万）</w:t>
            </w:r>
            <w:r>
              <w:rPr>
                <w:rFonts w:ascii="Times New Roman" w:hAnsi="Times New Roman" w:cs="Times New Roman" w:eastAsiaTheme="majorEastAsia"/>
                <w:color w:val="000000" w:themeColor="text1"/>
                <w:sz w:val="24"/>
                <w:szCs w:val="20"/>
                <w14:textFill>
                  <w14:solidFill>
                    <w14:schemeClr w14:val="tx1"/>
                  </w14:solidFill>
                </w14:textFill>
              </w:rPr>
              <w:tab/>
            </w:r>
            <w:r>
              <w:rPr>
                <w:rFonts w:ascii="Times New Roman" w:hAnsi="Times New Roman" w:cs="Times New Roman" w:eastAsiaTheme="majorEastAsia"/>
                <w:color w:val="000000" w:themeColor="text1"/>
                <w:sz w:val="24"/>
                <w:szCs w:val="20"/>
                <w14:textFill>
                  <w14:solidFill>
                    <w14:schemeClr w14:val="tx1"/>
                  </w14:solidFill>
                </w14:textFill>
              </w:rPr>
              <w:tab/>
            </w:r>
          </w:p>
        </w:tc>
        <w:tc>
          <w:tcPr>
            <w:tcW w:w="1165" w:type="dxa"/>
            <w:vAlign w:val="center"/>
          </w:tcPr>
          <w:p>
            <w:pPr>
              <w:spacing w:line="340" w:lineRule="exact"/>
              <w:ind w:firstLine="0" w:firstLineChars="0"/>
              <w:rPr>
                <w:rFonts w:ascii="Times New Roman" w:hAnsi="Times New Roman" w:cs="Times New Roman" w:eastAsiaTheme="majorEastAsia"/>
                <w:color w:val="000000" w:themeColor="text1"/>
                <w:sz w:val="24"/>
                <w:szCs w:val="20"/>
                <w14:textFill>
                  <w14:solidFill>
                    <w14:schemeClr w14:val="tx1"/>
                  </w14:solidFill>
                </w14:textFill>
              </w:rPr>
            </w:pPr>
            <w:r>
              <w:rPr>
                <w:rFonts w:ascii="Times New Roman" w:hAnsi="Times New Roman" w:cs="Times New Roman" w:eastAsiaTheme="majorEastAsia"/>
                <w:color w:val="000000" w:themeColor="text1"/>
                <w:sz w:val="24"/>
                <w:szCs w:val="20"/>
                <w14:textFill>
                  <w14:solidFill>
                    <w14:schemeClr w14:val="tx1"/>
                  </w14:solidFill>
                </w14:textFill>
              </w:rPr>
              <w:t>20.43</w:t>
            </w:r>
          </w:p>
        </w:tc>
        <w:tc>
          <w:tcPr>
            <w:tcW w:w="1569" w:type="dxa"/>
            <w:vAlign w:val="center"/>
          </w:tcPr>
          <w:p>
            <w:pPr>
              <w:spacing w:line="340" w:lineRule="exact"/>
              <w:ind w:firstLine="0" w:firstLineChars="0"/>
              <w:rPr>
                <w:rFonts w:ascii="Times New Roman" w:hAnsi="Times New Roman" w:cs="Times New Roman" w:eastAsiaTheme="majorEastAsia"/>
                <w:color w:val="000000" w:themeColor="text1"/>
                <w:sz w:val="24"/>
                <w:szCs w:val="20"/>
                <w14:textFill>
                  <w14:solidFill>
                    <w14:schemeClr w14:val="tx1"/>
                  </w14:solidFill>
                </w14:textFill>
              </w:rPr>
            </w:pPr>
            <w:r>
              <w:rPr>
                <w:rFonts w:ascii="Times New Roman" w:hAnsi="Times New Roman" w:cs="Times New Roman" w:eastAsiaTheme="majorEastAsia"/>
                <w:color w:val="000000" w:themeColor="text1"/>
                <w:sz w:val="24"/>
                <w:szCs w:val="20"/>
                <w14:textFill>
                  <w14:solidFill>
                    <w14:schemeClr w14:val="tx1"/>
                  </w14:solidFill>
                </w14:textFill>
              </w:rPr>
              <w:t>＜20</w:t>
            </w:r>
          </w:p>
        </w:tc>
        <w:tc>
          <w:tcPr>
            <w:tcW w:w="796" w:type="dxa"/>
            <w:vAlign w:val="center"/>
          </w:tcPr>
          <w:p>
            <w:pPr>
              <w:spacing w:line="340" w:lineRule="exact"/>
              <w:ind w:firstLine="0" w:firstLineChars="0"/>
              <w:rPr>
                <w:rFonts w:ascii="Times New Roman" w:hAnsi="Times New Roman" w:cs="Times New Roman" w:eastAsiaTheme="majorEastAsia"/>
                <w:color w:val="000000" w:themeColor="text1"/>
                <w:sz w:val="24"/>
                <w:szCs w:val="20"/>
                <w14:textFill>
                  <w14:solidFill>
                    <w14:schemeClr w14:val="tx1"/>
                  </w14:solidFill>
                </w14:textFill>
              </w:rPr>
            </w:pPr>
            <w:r>
              <w:rPr>
                <w:rFonts w:ascii="Times New Roman" w:hAnsi="Times New Roman" w:cs="Times New Roman" w:eastAsiaTheme="majorEastAsia"/>
                <w:color w:val="000000" w:themeColor="text1"/>
                <w:sz w:val="24"/>
                <w:szCs w:val="20"/>
                <w14:textFill>
                  <w14:solidFill>
                    <w14:schemeClr w14:val="tx1"/>
                  </w14:solidFill>
                </w14:textFill>
              </w:rPr>
              <w:t>预期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74" w:type="dxa"/>
            <w:vMerge w:val="continue"/>
            <w:vAlign w:val="center"/>
          </w:tcPr>
          <w:p>
            <w:pPr>
              <w:spacing w:line="340" w:lineRule="exact"/>
              <w:ind w:firstLine="0" w:firstLineChars="0"/>
              <w:jc w:val="center"/>
              <w:rPr>
                <w:rFonts w:ascii="Times New Roman" w:hAnsi="Times New Roman" w:cs="Times New Roman" w:eastAsiaTheme="majorEastAsia"/>
                <w:color w:val="000000" w:themeColor="text1"/>
                <w:sz w:val="24"/>
                <w:szCs w:val="20"/>
                <w14:textFill>
                  <w14:solidFill>
                    <w14:schemeClr w14:val="tx1"/>
                  </w14:solidFill>
                </w14:textFill>
              </w:rPr>
            </w:pPr>
          </w:p>
        </w:tc>
        <w:tc>
          <w:tcPr>
            <w:tcW w:w="582" w:type="dxa"/>
            <w:vAlign w:val="center"/>
          </w:tcPr>
          <w:p>
            <w:pPr>
              <w:spacing w:line="340" w:lineRule="exact"/>
              <w:ind w:firstLine="0" w:firstLineChars="0"/>
              <w:rPr>
                <w:rFonts w:ascii="Times New Roman" w:hAnsi="Times New Roman" w:cs="Times New Roman" w:eastAsiaTheme="majorEastAsia"/>
                <w:color w:val="000000" w:themeColor="text1"/>
                <w:sz w:val="24"/>
                <w:szCs w:val="20"/>
                <w14:textFill>
                  <w14:solidFill>
                    <w14:schemeClr w14:val="tx1"/>
                  </w14:solidFill>
                </w14:textFill>
              </w:rPr>
            </w:pPr>
            <w:r>
              <w:rPr>
                <w:rFonts w:ascii="Times New Roman" w:hAnsi="Times New Roman" w:cs="Times New Roman" w:eastAsiaTheme="majorEastAsia"/>
                <w:color w:val="000000" w:themeColor="text1"/>
                <w:sz w:val="24"/>
                <w:szCs w:val="20"/>
                <w14:textFill>
                  <w14:solidFill>
                    <w14:schemeClr w14:val="tx1"/>
                  </w14:solidFill>
                </w14:textFill>
              </w:rPr>
              <w:t>5</w:t>
            </w:r>
          </w:p>
        </w:tc>
        <w:tc>
          <w:tcPr>
            <w:tcW w:w="4222" w:type="dxa"/>
            <w:vAlign w:val="center"/>
          </w:tcPr>
          <w:p>
            <w:pPr>
              <w:spacing w:line="340" w:lineRule="exact"/>
              <w:ind w:firstLine="0" w:firstLineChars="0"/>
              <w:rPr>
                <w:rFonts w:ascii="Times New Roman" w:hAnsi="Times New Roman" w:cs="Times New Roman" w:eastAsiaTheme="majorEastAsia"/>
                <w:color w:val="000000" w:themeColor="text1"/>
                <w:sz w:val="24"/>
                <w:szCs w:val="20"/>
                <w14:textFill>
                  <w14:solidFill>
                    <w14:schemeClr w14:val="tx1"/>
                  </w14:solidFill>
                </w14:textFill>
              </w:rPr>
            </w:pPr>
            <w:r>
              <w:rPr>
                <w:rFonts w:ascii="Times New Roman" w:hAnsi="Times New Roman" w:cs="Times New Roman" w:eastAsiaTheme="majorEastAsia"/>
                <w:color w:val="000000" w:themeColor="text1"/>
                <w:sz w:val="24"/>
                <w:szCs w:val="20"/>
                <w14:textFill>
                  <w14:solidFill>
                    <w14:schemeClr w14:val="tx1"/>
                  </w14:solidFill>
                </w14:textFill>
              </w:rPr>
              <w:t>重大慢性疾病过早死亡率（%）</w:t>
            </w:r>
          </w:p>
        </w:tc>
        <w:tc>
          <w:tcPr>
            <w:tcW w:w="1165" w:type="dxa"/>
            <w:vAlign w:val="center"/>
          </w:tcPr>
          <w:p>
            <w:pPr>
              <w:spacing w:line="340" w:lineRule="exact"/>
              <w:ind w:firstLine="0" w:firstLineChars="0"/>
              <w:rPr>
                <w:rFonts w:ascii="Times New Roman" w:hAnsi="Times New Roman" w:cs="Times New Roman" w:eastAsiaTheme="majorEastAsia"/>
                <w:color w:val="000000" w:themeColor="text1"/>
                <w:sz w:val="24"/>
                <w:szCs w:val="20"/>
                <w14:textFill>
                  <w14:solidFill>
                    <w14:schemeClr w14:val="tx1"/>
                  </w14:solidFill>
                </w14:textFill>
              </w:rPr>
            </w:pPr>
            <w:r>
              <w:rPr>
                <w:rFonts w:ascii="Times New Roman" w:hAnsi="Times New Roman" w:cs="Times New Roman" w:eastAsiaTheme="majorEastAsia"/>
                <w:color w:val="000000" w:themeColor="text1"/>
                <w:sz w:val="24"/>
                <w:szCs w:val="20"/>
                <w14:textFill>
                  <w14:solidFill>
                    <w14:schemeClr w14:val="tx1"/>
                  </w14:solidFill>
                </w14:textFill>
              </w:rPr>
              <w:t>15.39</w:t>
            </w:r>
          </w:p>
        </w:tc>
        <w:tc>
          <w:tcPr>
            <w:tcW w:w="1569" w:type="dxa"/>
            <w:vAlign w:val="center"/>
          </w:tcPr>
          <w:p>
            <w:pPr>
              <w:widowControl/>
              <w:ind w:firstLine="0" w:firstLineChars="0"/>
              <w:rPr>
                <w:rFonts w:ascii="Times New Roman" w:hAnsi="Times New Roman" w:cs="Times New Roman" w:eastAsiaTheme="majorEastAsia"/>
                <w:color w:val="000000" w:themeColor="text1"/>
                <w:sz w:val="24"/>
                <w:szCs w:val="20"/>
                <w14:textFill>
                  <w14:solidFill>
                    <w14:schemeClr w14:val="tx1"/>
                  </w14:solidFill>
                </w14:textFill>
              </w:rPr>
            </w:pPr>
            <w:r>
              <w:rPr>
                <w:rFonts w:ascii="Times New Roman" w:hAnsi="Times New Roman" w:cs="Times New Roman" w:eastAsiaTheme="majorEastAsia"/>
                <w:color w:val="000000" w:themeColor="text1"/>
                <w:sz w:val="24"/>
                <w:szCs w:val="20"/>
                <w14:textFill>
                  <w14:solidFill>
                    <w14:schemeClr w14:val="tx1"/>
                  </w14:solidFill>
                </w14:textFill>
              </w:rPr>
              <w:t>≤15</w:t>
            </w:r>
          </w:p>
        </w:tc>
        <w:tc>
          <w:tcPr>
            <w:tcW w:w="796" w:type="dxa"/>
            <w:vAlign w:val="center"/>
          </w:tcPr>
          <w:p>
            <w:pPr>
              <w:spacing w:line="340" w:lineRule="exact"/>
              <w:ind w:firstLine="0" w:firstLineChars="0"/>
              <w:rPr>
                <w:rFonts w:ascii="Times New Roman" w:hAnsi="Times New Roman" w:cs="Times New Roman" w:eastAsiaTheme="majorEastAsia"/>
                <w:color w:val="000000" w:themeColor="text1"/>
                <w:sz w:val="24"/>
                <w:szCs w:val="20"/>
                <w14:textFill>
                  <w14:solidFill>
                    <w14:schemeClr w14:val="tx1"/>
                  </w14:solidFill>
                </w14:textFill>
              </w:rPr>
            </w:pPr>
            <w:r>
              <w:rPr>
                <w:rFonts w:ascii="Times New Roman" w:hAnsi="Times New Roman" w:cs="Times New Roman" w:eastAsiaTheme="majorEastAsia"/>
                <w:color w:val="000000" w:themeColor="text1"/>
                <w:sz w:val="24"/>
                <w:szCs w:val="20"/>
                <w14:textFill>
                  <w14:solidFill>
                    <w14:schemeClr w14:val="tx1"/>
                  </w14:solidFill>
                </w14:textFill>
              </w:rPr>
              <w:t>预期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74" w:type="dxa"/>
            <w:vMerge w:val="restart"/>
            <w:vAlign w:val="center"/>
          </w:tcPr>
          <w:p>
            <w:pPr>
              <w:spacing w:line="340" w:lineRule="exact"/>
              <w:ind w:firstLine="0" w:firstLineChars="0"/>
              <w:jc w:val="center"/>
              <w:rPr>
                <w:rFonts w:ascii="Times New Roman" w:hAnsi="Times New Roman" w:cs="Times New Roman" w:eastAsiaTheme="majorEastAsia"/>
                <w:color w:val="000000" w:themeColor="text1"/>
                <w:sz w:val="24"/>
                <w:szCs w:val="20"/>
                <w14:textFill>
                  <w14:solidFill>
                    <w14:schemeClr w14:val="tx1"/>
                  </w14:solidFill>
                </w14:textFill>
              </w:rPr>
            </w:pPr>
            <w:r>
              <w:rPr>
                <w:rFonts w:ascii="Times New Roman" w:hAnsi="Times New Roman" w:cs="Times New Roman" w:eastAsiaTheme="majorEastAsia"/>
                <w:color w:val="000000" w:themeColor="text1"/>
                <w:sz w:val="24"/>
                <w:szCs w:val="20"/>
                <w14:textFill>
                  <w14:solidFill>
                    <w14:schemeClr w14:val="tx1"/>
                  </w14:solidFill>
                </w14:textFill>
              </w:rPr>
              <w:t>健康生 活</w:t>
            </w:r>
          </w:p>
        </w:tc>
        <w:tc>
          <w:tcPr>
            <w:tcW w:w="582" w:type="dxa"/>
            <w:vAlign w:val="center"/>
          </w:tcPr>
          <w:p>
            <w:pPr>
              <w:spacing w:line="340" w:lineRule="exact"/>
              <w:ind w:firstLine="0" w:firstLineChars="0"/>
              <w:rPr>
                <w:rFonts w:ascii="Times New Roman" w:hAnsi="Times New Roman" w:cs="Times New Roman" w:eastAsiaTheme="majorEastAsia"/>
                <w:color w:val="000000" w:themeColor="text1"/>
                <w:sz w:val="24"/>
                <w:szCs w:val="20"/>
                <w14:textFill>
                  <w14:solidFill>
                    <w14:schemeClr w14:val="tx1"/>
                  </w14:solidFill>
                </w14:textFill>
              </w:rPr>
            </w:pPr>
            <w:r>
              <w:rPr>
                <w:rFonts w:ascii="Times New Roman" w:hAnsi="Times New Roman" w:cs="Times New Roman" w:eastAsiaTheme="majorEastAsia"/>
                <w:color w:val="000000" w:themeColor="text1"/>
                <w:sz w:val="24"/>
                <w:szCs w:val="20"/>
                <w14:textFill>
                  <w14:solidFill>
                    <w14:schemeClr w14:val="tx1"/>
                  </w14:solidFill>
                </w14:textFill>
              </w:rPr>
              <w:t>6</w:t>
            </w:r>
          </w:p>
        </w:tc>
        <w:tc>
          <w:tcPr>
            <w:tcW w:w="4222" w:type="dxa"/>
            <w:vAlign w:val="center"/>
          </w:tcPr>
          <w:p>
            <w:pPr>
              <w:spacing w:line="340" w:lineRule="exact"/>
              <w:ind w:firstLine="0" w:firstLineChars="0"/>
              <w:rPr>
                <w:rFonts w:ascii="Times New Roman" w:hAnsi="Times New Roman" w:cs="Times New Roman" w:eastAsiaTheme="majorEastAsia"/>
                <w:color w:val="000000" w:themeColor="text1"/>
                <w:sz w:val="24"/>
                <w:szCs w:val="20"/>
                <w14:textFill>
                  <w14:solidFill>
                    <w14:schemeClr w14:val="tx1"/>
                  </w14:solidFill>
                </w14:textFill>
              </w:rPr>
            </w:pPr>
            <w:r>
              <w:rPr>
                <w:rFonts w:ascii="Times New Roman" w:hAnsi="Times New Roman" w:cs="Times New Roman" w:eastAsiaTheme="majorEastAsia"/>
                <w:color w:val="000000" w:themeColor="text1"/>
                <w:sz w:val="24"/>
                <w:szCs w:val="20"/>
                <w14:textFill>
                  <w14:solidFill>
                    <w14:schemeClr w14:val="tx1"/>
                  </w14:solidFill>
                </w14:textFill>
              </w:rPr>
              <w:t>居民健康素养水平（%）</w:t>
            </w:r>
          </w:p>
        </w:tc>
        <w:tc>
          <w:tcPr>
            <w:tcW w:w="1165" w:type="dxa"/>
            <w:vAlign w:val="center"/>
          </w:tcPr>
          <w:p>
            <w:pPr>
              <w:spacing w:line="340" w:lineRule="exact"/>
              <w:ind w:firstLine="0" w:firstLineChars="0"/>
              <w:rPr>
                <w:rFonts w:ascii="Times New Roman" w:hAnsi="Times New Roman" w:cs="Times New Roman" w:eastAsiaTheme="majorEastAsia"/>
                <w:color w:val="000000" w:themeColor="text1"/>
                <w:sz w:val="24"/>
                <w:szCs w:val="20"/>
                <w14:textFill>
                  <w14:solidFill>
                    <w14:schemeClr w14:val="tx1"/>
                  </w14:solidFill>
                </w14:textFill>
              </w:rPr>
            </w:pPr>
            <w:r>
              <w:rPr>
                <w:rFonts w:ascii="Times New Roman" w:hAnsi="Times New Roman" w:cs="Times New Roman" w:eastAsiaTheme="majorEastAsia"/>
                <w:color w:val="000000" w:themeColor="text1"/>
                <w:sz w:val="24"/>
                <w:szCs w:val="20"/>
                <w14:textFill>
                  <w14:solidFill>
                    <w14:schemeClr w14:val="tx1"/>
                  </w14:solidFill>
                </w14:textFill>
              </w:rPr>
              <w:t>20.44</w:t>
            </w:r>
          </w:p>
        </w:tc>
        <w:tc>
          <w:tcPr>
            <w:tcW w:w="1569" w:type="dxa"/>
            <w:vAlign w:val="center"/>
          </w:tcPr>
          <w:p>
            <w:pPr>
              <w:spacing w:line="340" w:lineRule="exact"/>
              <w:ind w:firstLine="0" w:firstLineChars="0"/>
              <w:rPr>
                <w:rFonts w:ascii="Times New Roman" w:hAnsi="Times New Roman" w:cs="Times New Roman" w:eastAsiaTheme="majorEastAsia"/>
                <w:color w:val="000000" w:themeColor="text1"/>
                <w:sz w:val="24"/>
                <w:szCs w:val="20"/>
                <w14:textFill>
                  <w14:solidFill>
                    <w14:schemeClr w14:val="tx1"/>
                  </w14:solidFill>
                </w14:textFill>
              </w:rPr>
            </w:pPr>
            <w:r>
              <w:rPr>
                <w:rFonts w:ascii="Times New Roman" w:hAnsi="Times New Roman" w:cs="Times New Roman" w:eastAsiaTheme="majorEastAsia"/>
                <w:color w:val="000000" w:themeColor="text1"/>
                <w:sz w:val="24"/>
                <w:szCs w:val="20"/>
                <w14:textFill>
                  <w14:solidFill>
                    <w14:schemeClr w14:val="tx1"/>
                  </w14:solidFill>
                </w14:textFill>
              </w:rPr>
              <w:t>≥25</w:t>
            </w:r>
          </w:p>
        </w:tc>
        <w:tc>
          <w:tcPr>
            <w:tcW w:w="796" w:type="dxa"/>
            <w:vAlign w:val="center"/>
          </w:tcPr>
          <w:p>
            <w:pPr>
              <w:spacing w:line="340" w:lineRule="exact"/>
              <w:ind w:firstLine="0" w:firstLineChars="0"/>
              <w:rPr>
                <w:rFonts w:ascii="Times New Roman" w:hAnsi="Times New Roman" w:cs="Times New Roman" w:eastAsiaTheme="majorEastAsia"/>
                <w:color w:val="000000" w:themeColor="text1"/>
                <w:sz w:val="24"/>
                <w:szCs w:val="20"/>
                <w14:textFill>
                  <w14:solidFill>
                    <w14:schemeClr w14:val="tx1"/>
                  </w14:solidFill>
                </w14:textFill>
              </w:rPr>
            </w:pPr>
            <w:r>
              <w:rPr>
                <w:rFonts w:ascii="Times New Roman" w:hAnsi="Times New Roman" w:cs="Times New Roman" w:eastAsiaTheme="majorEastAsia"/>
                <w:color w:val="000000" w:themeColor="text1"/>
                <w:sz w:val="24"/>
                <w:szCs w:val="20"/>
                <w14:textFill>
                  <w14:solidFill>
                    <w14:schemeClr w14:val="tx1"/>
                  </w14:solidFill>
                </w14:textFill>
              </w:rPr>
              <w:t>预期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74" w:type="dxa"/>
            <w:vMerge w:val="continue"/>
            <w:vAlign w:val="center"/>
          </w:tcPr>
          <w:p>
            <w:pPr>
              <w:spacing w:line="340" w:lineRule="exact"/>
              <w:ind w:firstLine="0" w:firstLineChars="0"/>
              <w:jc w:val="center"/>
              <w:rPr>
                <w:rFonts w:ascii="Times New Roman" w:hAnsi="Times New Roman" w:cs="Times New Roman" w:eastAsiaTheme="majorEastAsia"/>
                <w:color w:val="000000" w:themeColor="text1"/>
                <w:sz w:val="24"/>
                <w:szCs w:val="20"/>
                <w14:textFill>
                  <w14:solidFill>
                    <w14:schemeClr w14:val="tx1"/>
                  </w14:solidFill>
                </w14:textFill>
              </w:rPr>
            </w:pPr>
          </w:p>
        </w:tc>
        <w:tc>
          <w:tcPr>
            <w:tcW w:w="582" w:type="dxa"/>
            <w:vAlign w:val="center"/>
          </w:tcPr>
          <w:p>
            <w:pPr>
              <w:spacing w:line="340" w:lineRule="exact"/>
              <w:ind w:firstLine="0" w:firstLineChars="0"/>
              <w:rPr>
                <w:rFonts w:ascii="Times New Roman" w:hAnsi="Times New Roman" w:cs="Times New Roman" w:eastAsiaTheme="majorEastAsia"/>
                <w:color w:val="000000" w:themeColor="text1"/>
                <w:sz w:val="24"/>
                <w:szCs w:val="20"/>
                <w14:textFill>
                  <w14:solidFill>
                    <w14:schemeClr w14:val="tx1"/>
                  </w14:solidFill>
                </w14:textFill>
              </w:rPr>
            </w:pPr>
            <w:r>
              <w:rPr>
                <w:rFonts w:ascii="Times New Roman" w:hAnsi="Times New Roman" w:cs="Times New Roman" w:eastAsiaTheme="majorEastAsia"/>
                <w:color w:val="000000" w:themeColor="text1"/>
                <w:sz w:val="24"/>
                <w:szCs w:val="20"/>
                <w14:textFill>
                  <w14:solidFill>
                    <w14:schemeClr w14:val="tx1"/>
                  </w14:solidFill>
                </w14:textFill>
              </w:rPr>
              <w:t>7</w:t>
            </w:r>
          </w:p>
        </w:tc>
        <w:tc>
          <w:tcPr>
            <w:tcW w:w="4222" w:type="dxa"/>
            <w:vAlign w:val="center"/>
          </w:tcPr>
          <w:p>
            <w:pPr>
              <w:spacing w:line="340" w:lineRule="exact"/>
              <w:ind w:firstLine="0" w:firstLineChars="0"/>
              <w:rPr>
                <w:rFonts w:ascii="Times New Roman" w:hAnsi="Times New Roman" w:cs="Times New Roman" w:eastAsiaTheme="majorEastAsia"/>
                <w:color w:val="000000" w:themeColor="text1"/>
                <w:sz w:val="24"/>
                <w:szCs w:val="20"/>
                <w14:textFill>
                  <w14:solidFill>
                    <w14:schemeClr w14:val="tx1"/>
                  </w14:solidFill>
                </w14:textFill>
              </w:rPr>
            </w:pPr>
            <w:r>
              <w:rPr>
                <w:rFonts w:ascii="Times New Roman" w:hAnsi="Times New Roman" w:cs="Times New Roman" w:eastAsiaTheme="majorEastAsia"/>
                <w:color w:val="000000" w:themeColor="text1"/>
                <w:sz w:val="24"/>
                <w:szCs w:val="20"/>
                <w14:textFill>
                  <w14:solidFill>
                    <w14:schemeClr w14:val="tx1"/>
                  </w14:solidFill>
                </w14:textFill>
              </w:rPr>
              <w:t>15岁以上人群吸烟率（%）</w:t>
            </w:r>
          </w:p>
        </w:tc>
        <w:tc>
          <w:tcPr>
            <w:tcW w:w="1165" w:type="dxa"/>
            <w:vAlign w:val="center"/>
          </w:tcPr>
          <w:p>
            <w:pPr>
              <w:spacing w:line="340" w:lineRule="exact"/>
              <w:ind w:firstLine="0" w:firstLineChars="0"/>
              <w:rPr>
                <w:rFonts w:ascii="Times New Roman" w:hAnsi="Times New Roman" w:cs="Times New Roman" w:eastAsiaTheme="majorEastAsia"/>
                <w:color w:val="000000" w:themeColor="text1"/>
                <w:sz w:val="24"/>
                <w:szCs w:val="20"/>
                <w14:textFill>
                  <w14:solidFill>
                    <w14:schemeClr w14:val="tx1"/>
                  </w14:solidFill>
                </w14:textFill>
              </w:rPr>
            </w:pPr>
            <w:r>
              <w:rPr>
                <w:rFonts w:ascii="Times New Roman" w:hAnsi="Times New Roman" w:cs="Times New Roman" w:eastAsiaTheme="majorEastAsia"/>
                <w:color w:val="000000" w:themeColor="text1"/>
                <w:sz w:val="24"/>
                <w:szCs w:val="20"/>
                <w14:textFill>
                  <w14:solidFill>
                    <w14:schemeClr w14:val="tx1"/>
                  </w14:solidFill>
                </w14:textFill>
              </w:rPr>
              <w:t>33.2</w:t>
            </w:r>
          </w:p>
        </w:tc>
        <w:tc>
          <w:tcPr>
            <w:tcW w:w="1569" w:type="dxa"/>
            <w:vAlign w:val="center"/>
          </w:tcPr>
          <w:p>
            <w:pPr>
              <w:spacing w:line="340" w:lineRule="exact"/>
              <w:ind w:firstLine="0" w:firstLineChars="0"/>
              <w:rPr>
                <w:rFonts w:ascii="Times New Roman" w:hAnsi="Times New Roman" w:cs="Times New Roman" w:eastAsiaTheme="majorEastAsia"/>
                <w:color w:val="000000" w:themeColor="text1"/>
                <w:sz w:val="24"/>
                <w:szCs w:val="20"/>
                <w14:textFill>
                  <w14:solidFill>
                    <w14:schemeClr w14:val="tx1"/>
                  </w14:solidFill>
                </w14:textFill>
              </w:rPr>
            </w:pPr>
            <w:r>
              <w:rPr>
                <w:rFonts w:ascii="Times New Roman" w:hAnsi="Times New Roman" w:cs="Times New Roman" w:eastAsiaTheme="majorEastAsia"/>
                <w:color w:val="000000" w:themeColor="text1"/>
                <w:sz w:val="24"/>
                <w:szCs w:val="20"/>
                <w14:textFill>
                  <w14:solidFill>
                    <w14:schemeClr w14:val="tx1"/>
                  </w14:solidFill>
                </w14:textFill>
              </w:rPr>
              <w:t>≤23.3</w:t>
            </w:r>
          </w:p>
        </w:tc>
        <w:tc>
          <w:tcPr>
            <w:tcW w:w="796" w:type="dxa"/>
            <w:vAlign w:val="center"/>
          </w:tcPr>
          <w:p>
            <w:pPr>
              <w:spacing w:line="340" w:lineRule="exact"/>
              <w:ind w:firstLine="0" w:firstLineChars="0"/>
              <w:rPr>
                <w:rFonts w:ascii="Times New Roman" w:hAnsi="Times New Roman" w:cs="Times New Roman" w:eastAsiaTheme="majorEastAsia"/>
                <w:color w:val="000000" w:themeColor="text1"/>
                <w:sz w:val="24"/>
                <w:szCs w:val="20"/>
                <w14:textFill>
                  <w14:solidFill>
                    <w14:schemeClr w14:val="tx1"/>
                  </w14:solidFill>
                </w14:textFill>
              </w:rPr>
            </w:pPr>
            <w:r>
              <w:rPr>
                <w:rFonts w:ascii="Times New Roman" w:hAnsi="Times New Roman" w:cs="Times New Roman" w:eastAsiaTheme="majorEastAsia"/>
                <w:color w:val="000000" w:themeColor="text1"/>
                <w:sz w:val="24"/>
                <w:szCs w:val="20"/>
                <w14:textFill>
                  <w14:solidFill>
                    <w14:schemeClr w14:val="tx1"/>
                  </w14:solidFill>
                </w14:textFill>
              </w:rPr>
              <w:t>预期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74" w:type="dxa"/>
            <w:vMerge w:val="restart"/>
            <w:vAlign w:val="center"/>
          </w:tcPr>
          <w:p>
            <w:pPr>
              <w:spacing w:line="340" w:lineRule="exact"/>
              <w:ind w:firstLine="0" w:firstLineChars="0"/>
              <w:jc w:val="center"/>
              <w:rPr>
                <w:rFonts w:ascii="Times New Roman" w:hAnsi="Times New Roman" w:cs="Times New Roman" w:eastAsiaTheme="majorEastAsia"/>
                <w:color w:val="000000" w:themeColor="text1"/>
                <w:sz w:val="24"/>
                <w:szCs w:val="20"/>
                <w14:textFill>
                  <w14:solidFill>
                    <w14:schemeClr w14:val="tx1"/>
                  </w14:solidFill>
                </w14:textFill>
              </w:rPr>
            </w:pPr>
            <w:r>
              <w:rPr>
                <w:rFonts w:ascii="Times New Roman" w:hAnsi="Times New Roman" w:cs="Times New Roman" w:eastAsiaTheme="majorEastAsia"/>
                <w:color w:val="000000" w:themeColor="text1"/>
                <w:sz w:val="24"/>
                <w:szCs w:val="20"/>
                <w14:textFill>
                  <w14:solidFill>
                    <w14:schemeClr w14:val="tx1"/>
                  </w14:solidFill>
                </w14:textFill>
              </w:rPr>
              <w:t>健康</w:t>
            </w:r>
          </w:p>
          <w:p>
            <w:pPr>
              <w:spacing w:line="340" w:lineRule="exact"/>
              <w:ind w:firstLine="0" w:firstLineChars="0"/>
              <w:jc w:val="center"/>
              <w:rPr>
                <w:rFonts w:ascii="Times New Roman" w:hAnsi="Times New Roman" w:cs="Times New Roman" w:eastAsiaTheme="majorEastAsia"/>
                <w:color w:val="000000" w:themeColor="text1"/>
                <w:sz w:val="24"/>
                <w:szCs w:val="20"/>
                <w14:textFill>
                  <w14:solidFill>
                    <w14:schemeClr w14:val="tx1"/>
                  </w14:solidFill>
                </w14:textFill>
              </w:rPr>
            </w:pPr>
            <w:r>
              <w:rPr>
                <w:rFonts w:ascii="Times New Roman" w:hAnsi="Times New Roman" w:cs="Times New Roman" w:eastAsiaTheme="majorEastAsia"/>
                <w:color w:val="000000" w:themeColor="text1"/>
                <w:sz w:val="24"/>
                <w:szCs w:val="20"/>
                <w14:textFill>
                  <w14:solidFill>
                    <w14:schemeClr w14:val="tx1"/>
                  </w14:solidFill>
                </w14:textFill>
              </w:rPr>
              <w:t>服务</w:t>
            </w:r>
          </w:p>
        </w:tc>
        <w:tc>
          <w:tcPr>
            <w:tcW w:w="582" w:type="dxa"/>
            <w:vAlign w:val="center"/>
          </w:tcPr>
          <w:p>
            <w:pPr>
              <w:spacing w:line="340" w:lineRule="exact"/>
              <w:ind w:firstLine="0" w:firstLineChars="0"/>
              <w:rPr>
                <w:rFonts w:ascii="Times New Roman" w:hAnsi="Times New Roman" w:cs="Times New Roman" w:eastAsiaTheme="majorEastAsia"/>
                <w:color w:val="000000" w:themeColor="text1"/>
                <w:sz w:val="24"/>
                <w:szCs w:val="20"/>
                <w14:textFill>
                  <w14:solidFill>
                    <w14:schemeClr w14:val="tx1"/>
                  </w14:solidFill>
                </w14:textFill>
              </w:rPr>
            </w:pPr>
            <w:r>
              <w:rPr>
                <w:rFonts w:ascii="Times New Roman" w:hAnsi="Times New Roman" w:cs="Times New Roman" w:eastAsiaTheme="majorEastAsia"/>
                <w:color w:val="000000" w:themeColor="text1"/>
                <w:sz w:val="24"/>
                <w:szCs w:val="20"/>
                <w14:textFill>
                  <w14:solidFill>
                    <w14:schemeClr w14:val="tx1"/>
                  </w14:solidFill>
                </w14:textFill>
              </w:rPr>
              <w:t>8</w:t>
            </w:r>
          </w:p>
        </w:tc>
        <w:tc>
          <w:tcPr>
            <w:tcW w:w="4222" w:type="dxa"/>
            <w:vAlign w:val="center"/>
          </w:tcPr>
          <w:p>
            <w:pPr>
              <w:spacing w:line="340" w:lineRule="exact"/>
              <w:ind w:firstLine="0" w:firstLineChars="0"/>
              <w:rPr>
                <w:rFonts w:ascii="Times New Roman" w:hAnsi="Times New Roman" w:cs="Times New Roman" w:eastAsiaTheme="majorEastAsia"/>
                <w:color w:val="000000" w:themeColor="text1"/>
                <w:sz w:val="24"/>
                <w:szCs w:val="20"/>
                <w14:textFill>
                  <w14:solidFill>
                    <w14:schemeClr w14:val="tx1"/>
                  </w14:solidFill>
                </w14:textFill>
              </w:rPr>
            </w:pPr>
            <w:r>
              <w:rPr>
                <w:rFonts w:ascii="Times New Roman" w:hAnsi="Times New Roman" w:cs="Times New Roman" w:eastAsiaTheme="majorEastAsia"/>
                <w:color w:val="000000" w:themeColor="text1"/>
                <w:sz w:val="24"/>
                <w:szCs w:val="20"/>
                <w14:textFill>
                  <w14:solidFill>
                    <w14:schemeClr w14:val="tx1"/>
                  </w14:solidFill>
                </w14:textFill>
              </w:rPr>
              <w:t>孕产妇系统管理率和3岁以下儿童系统管理率（%）</w:t>
            </w:r>
          </w:p>
        </w:tc>
        <w:tc>
          <w:tcPr>
            <w:tcW w:w="1165" w:type="dxa"/>
            <w:vAlign w:val="center"/>
          </w:tcPr>
          <w:p>
            <w:pPr>
              <w:spacing w:line="340" w:lineRule="exact"/>
              <w:ind w:firstLine="0" w:firstLineChars="0"/>
              <w:rPr>
                <w:rFonts w:ascii="Times New Roman" w:hAnsi="Times New Roman" w:cs="Times New Roman" w:eastAsiaTheme="majorEastAsia"/>
                <w:color w:val="000000" w:themeColor="text1"/>
                <w:sz w:val="24"/>
                <w:szCs w:val="20"/>
                <w14:textFill>
                  <w14:solidFill>
                    <w14:schemeClr w14:val="tx1"/>
                  </w14:solidFill>
                </w14:textFill>
              </w:rPr>
            </w:pPr>
            <w:r>
              <w:rPr>
                <w:rFonts w:ascii="Times New Roman" w:hAnsi="Times New Roman" w:cs="Times New Roman" w:eastAsiaTheme="majorEastAsia"/>
                <w:color w:val="000000" w:themeColor="text1"/>
                <w:sz w:val="24"/>
                <w:szCs w:val="20"/>
                <w14:textFill>
                  <w14:solidFill>
                    <w14:schemeClr w14:val="tx1"/>
                  </w14:solidFill>
                </w14:textFill>
              </w:rPr>
              <w:t>97</w:t>
            </w:r>
          </w:p>
        </w:tc>
        <w:tc>
          <w:tcPr>
            <w:tcW w:w="1569" w:type="dxa"/>
            <w:vAlign w:val="center"/>
          </w:tcPr>
          <w:p>
            <w:pPr>
              <w:spacing w:line="340" w:lineRule="exact"/>
              <w:ind w:firstLine="0" w:firstLineChars="0"/>
              <w:rPr>
                <w:rFonts w:ascii="Times New Roman" w:hAnsi="Times New Roman" w:cs="Times New Roman" w:eastAsiaTheme="majorEastAsia"/>
                <w:color w:val="000000" w:themeColor="text1"/>
                <w:sz w:val="24"/>
                <w:szCs w:val="20"/>
                <w14:textFill>
                  <w14:solidFill>
                    <w14:schemeClr w14:val="tx1"/>
                  </w14:solidFill>
                </w14:textFill>
              </w:rPr>
            </w:pPr>
            <w:r>
              <w:rPr>
                <w:rFonts w:ascii="Times New Roman" w:hAnsi="Times New Roman" w:cs="Times New Roman" w:eastAsiaTheme="majorEastAsia"/>
                <w:color w:val="000000" w:themeColor="text1"/>
                <w:sz w:val="24"/>
                <w:szCs w:val="20"/>
                <w14:textFill>
                  <w14:solidFill>
                    <w14:schemeClr w14:val="tx1"/>
                  </w14:solidFill>
                </w14:textFill>
              </w:rPr>
              <w:t>≥93</w:t>
            </w:r>
          </w:p>
        </w:tc>
        <w:tc>
          <w:tcPr>
            <w:tcW w:w="796" w:type="dxa"/>
            <w:vAlign w:val="center"/>
          </w:tcPr>
          <w:p>
            <w:pPr>
              <w:spacing w:line="340" w:lineRule="exact"/>
              <w:ind w:firstLine="0" w:firstLineChars="0"/>
              <w:rPr>
                <w:rFonts w:ascii="Times New Roman" w:hAnsi="Times New Roman" w:cs="Times New Roman" w:eastAsiaTheme="majorEastAsia"/>
                <w:color w:val="000000" w:themeColor="text1"/>
                <w:sz w:val="24"/>
                <w:szCs w:val="20"/>
                <w14:textFill>
                  <w14:solidFill>
                    <w14:schemeClr w14:val="tx1"/>
                  </w14:solidFill>
                </w14:textFill>
              </w:rPr>
            </w:pPr>
            <w:r>
              <w:rPr>
                <w:rFonts w:ascii="Times New Roman" w:hAnsi="Times New Roman" w:cs="Times New Roman" w:eastAsiaTheme="majorEastAsia"/>
                <w:color w:val="000000" w:themeColor="text1"/>
                <w:sz w:val="24"/>
                <w:szCs w:val="20"/>
                <w14:textFill>
                  <w14:solidFill>
                    <w14:schemeClr w14:val="tx1"/>
                  </w14:solidFill>
                </w14:textFill>
              </w:rPr>
              <w:t>预期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74" w:type="dxa"/>
            <w:vMerge w:val="continue"/>
            <w:vAlign w:val="center"/>
          </w:tcPr>
          <w:p>
            <w:pPr>
              <w:spacing w:line="340" w:lineRule="exact"/>
              <w:ind w:firstLine="0" w:firstLineChars="0"/>
              <w:jc w:val="center"/>
              <w:rPr>
                <w:rFonts w:ascii="Times New Roman" w:hAnsi="Times New Roman" w:cs="Times New Roman" w:eastAsiaTheme="majorEastAsia"/>
                <w:color w:val="000000" w:themeColor="text1"/>
                <w:sz w:val="24"/>
                <w:szCs w:val="20"/>
                <w14:textFill>
                  <w14:solidFill>
                    <w14:schemeClr w14:val="tx1"/>
                  </w14:solidFill>
                </w14:textFill>
              </w:rPr>
            </w:pPr>
          </w:p>
        </w:tc>
        <w:tc>
          <w:tcPr>
            <w:tcW w:w="582" w:type="dxa"/>
            <w:vAlign w:val="center"/>
          </w:tcPr>
          <w:p>
            <w:pPr>
              <w:spacing w:line="340" w:lineRule="exact"/>
              <w:ind w:firstLine="0" w:firstLineChars="0"/>
              <w:rPr>
                <w:rFonts w:ascii="Times New Roman" w:hAnsi="Times New Roman" w:cs="Times New Roman" w:eastAsiaTheme="majorEastAsia"/>
                <w:color w:val="000000" w:themeColor="text1"/>
                <w:sz w:val="24"/>
                <w:szCs w:val="20"/>
                <w14:textFill>
                  <w14:solidFill>
                    <w14:schemeClr w14:val="tx1"/>
                  </w14:solidFill>
                </w14:textFill>
              </w:rPr>
            </w:pPr>
            <w:r>
              <w:rPr>
                <w:rFonts w:ascii="Times New Roman" w:hAnsi="Times New Roman" w:cs="Times New Roman" w:eastAsiaTheme="majorEastAsia"/>
                <w:color w:val="000000" w:themeColor="text1"/>
                <w:sz w:val="24"/>
                <w:szCs w:val="20"/>
                <w14:textFill>
                  <w14:solidFill>
                    <w14:schemeClr w14:val="tx1"/>
                  </w14:solidFill>
                </w14:textFill>
              </w:rPr>
              <w:t>9</w:t>
            </w:r>
          </w:p>
        </w:tc>
        <w:tc>
          <w:tcPr>
            <w:tcW w:w="4222" w:type="dxa"/>
            <w:vAlign w:val="center"/>
          </w:tcPr>
          <w:p>
            <w:pPr>
              <w:spacing w:line="340" w:lineRule="exact"/>
              <w:ind w:firstLine="0" w:firstLineChars="0"/>
              <w:rPr>
                <w:rFonts w:ascii="Times New Roman" w:hAnsi="Times New Roman" w:cs="Times New Roman" w:eastAsiaTheme="majorEastAsia"/>
                <w:color w:val="000000" w:themeColor="text1"/>
                <w:sz w:val="24"/>
                <w:szCs w:val="20"/>
                <w14:textFill>
                  <w14:solidFill>
                    <w14:schemeClr w14:val="tx1"/>
                  </w14:solidFill>
                </w14:textFill>
              </w:rPr>
            </w:pPr>
            <w:r>
              <w:rPr>
                <w:rFonts w:ascii="Times New Roman" w:hAnsi="Times New Roman" w:cs="Times New Roman" w:eastAsiaTheme="majorEastAsia"/>
                <w:color w:val="000000" w:themeColor="text1"/>
                <w:sz w:val="24"/>
                <w:szCs w:val="20"/>
                <w14:textFill>
                  <w14:solidFill>
                    <w14:schemeClr w14:val="tx1"/>
                  </w14:solidFill>
                </w14:textFill>
              </w:rPr>
              <w:t>产前筛查率（%）</w:t>
            </w:r>
          </w:p>
        </w:tc>
        <w:tc>
          <w:tcPr>
            <w:tcW w:w="1165" w:type="dxa"/>
            <w:vAlign w:val="center"/>
          </w:tcPr>
          <w:p>
            <w:pPr>
              <w:spacing w:line="340" w:lineRule="exact"/>
              <w:ind w:firstLine="0" w:firstLineChars="0"/>
              <w:rPr>
                <w:rFonts w:ascii="Times New Roman" w:hAnsi="Times New Roman" w:cs="Times New Roman" w:eastAsiaTheme="majorEastAsia"/>
                <w:color w:val="000000" w:themeColor="text1"/>
                <w:sz w:val="24"/>
                <w:szCs w:val="20"/>
                <w14:textFill>
                  <w14:solidFill>
                    <w14:schemeClr w14:val="tx1"/>
                  </w14:solidFill>
                </w14:textFill>
              </w:rPr>
            </w:pPr>
            <w:r>
              <w:rPr>
                <w:rFonts w:ascii="Times New Roman" w:hAnsi="Times New Roman" w:cs="Times New Roman" w:eastAsiaTheme="majorEastAsia"/>
                <w:color w:val="000000" w:themeColor="text1"/>
                <w:sz w:val="24"/>
                <w:szCs w:val="20"/>
                <w14:textFill>
                  <w14:solidFill>
                    <w14:schemeClr w14:val="tx1"/>
                  </w14:solidFill>
                </w14:textFill>
              </w:rPr>
              <w:t>85.57</w:t>
            </w:r>
          </w:p>
        </w:tc>
        <w:tc>
          <w:tcPr>
            <w:tcW w:w="1569" w:type="dxa"/>
            <w:vAlign w:val="center"/>
          </w:tcPr>
          <w:p>
            <w:pPr>
              <w:spacing w:line="340" w:lineRule="exact"/>
              <w:ind w:firstLine="0" w:firstLineChars="0"/>
              <w:rPr>
                <w:rFonts w:ascii="Times New Roman" w:hAnsi="Times New Roman" w:cs="Times New Roman" w:eastAsiaTheme="majorEastAsia"/>
                <w:color w:val="000000" w:themeColor="text1"/>
                <w:sz w:val="24"/>
                <w:szCs w:val="20"/>
                <w14:textFill>
                  <w14:solidFill>
                    <w14:schemeClr w14:val="tx1"/>
                  </w14:solidFill>
                </w14:textFill>
              </w:rPr>
            </w:pPr>
            <w:r>
              <w:rPr>
                <w:rFonts w:ascii="Times New Roman" w:hAnsi="Times New Roman" w:cs="Times New Roman" w:eastAsiaTheme="majorEastAsia"/>
                <w:color w:val="000000" w:themeColor="text1"/>
                <w:sz w:val="24"/>
                <w:szCs w:val="20"/>
                <w14:textFill>
                  <w14:solidFill>
                    <w14:schemeClr w14:val="tx1"/>
                  </w14:solidFill>
                </w14:textFill>
              </w:rPr>
              <w:t>≥85</w:t>
            </w:r>
          </w:p>
        </w:tc>
        <w:tc>
          <w:tcPr>
            <w:tcW w:w="796" w:type="dxa"/>
            <w:vAlign w:val="center"/>
          </w:tcPr>
          <w:p>
            <w:pPr>
              <w:spacing w:line="340" w:lineRule="exact"/>
              <w:ind w:firstLine="0" w:firstLineChars="0"/>
              <w:rPr>
                <w:rFonts w:ascii="Times New Roman" w:hAnsi="Times New Roman" w:cs="Times New Roman" w:eastAsiaTheme="majorEastAsia"/>
                <w:color w:val="000000" w:themeColor="text1"/>
                <w:sz w:val="24"/>
                <w:szCs w:val="20"/>
                <w14:textFill>
                  <w14:solidFill>
                    <w14:schemeClr w14:val="tx1"/>
                  </w14:solidFill>
                </w14:textFill>
              </w:rPr>
            </w:pPr>
            <w:r>
              <w:rPr>
                <w:rFonts w:ascii="Times New Roman" w:hAnsi="Times New Roman" w:cs="Times New Roman" w:eastAsiaTheme="majorEastAsia"/>
                <w:color w:val="000000" w:themeColor="text1"/>
                <w:sz w:val="24"/>
                <w:szCs w:val="20"/>
                <w14:textFill>
                  <w14:solidFill>
                    <w14:schemeClr w14:val="tx1"/>
                  </w14:solidFill>
                </w14:textFill>
              </w:rPr>
              <w:t>约束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74" w:type="dxa"/>
            <w:vMerge w:val="continue"/>
            <w:vAlign w:val="center"/>
          </w:tcPr>
          <w:p>
            <w:pPr>
              <w:spacing w:line="340" w:lineRule="exact"/>
              <w:ind w:firstLine="0" w:firstLineChars="0"/>
              <w:jc w:val="center"/>
              <w:rPr>
                <w:rFonts w:ascii="Times New Roman" w:hAnsi="Times New Roman" w:cs="Times New Roman" w:eastAsiaTheme="majorEastAsia"/>
                <w:color w:val="000000" w:themeColor="text1"/>
                <w:sz w:val="24"/>
                <w:szCs w:val="20"/>
                <w14:textFill>
                  <w14:solidFill>
                    <w14:schemeClr w14:val="tx1"/>
                  </w14:solidFill>
                </w14:textFill>
              </w:rPr>
            </w:pPr>
          </w:p>
        </w:tc>
        <w:tc>
          <w:tcPr>
            <w:tcW w:w="582" w:type="dxa"/>
            <w:vAlign w:val="center"/>
          </w:tcPr>
          <w:p>
            <w:pPr>
              <w:spacing w:line="340" w:lineRule="exact"/>
              <w:ind w:firstLine="0" w:firstLineChars="0"/>
              <w:rPr>
                <w:rFonts w:ascii="Times New Roman" w:hAnsi="Times New Roman" w:cs="Times New Roman" w:eastAsiaTheme="majorEastAsia"/>
                <w:color w:val="000000" w:themeColor="text1"/>
                <w:sz w:val="24"/>
                <w:szCs w:val="20"/>
                <w14:textFill>
                  <w14:solidFill>
                    <w14:schemeClr w14:val="tx1"/>
                  </w14:solidFill>
                </w14:textFill>
              </w:rPr>
            </w:pPr>
            <w:r>
              <w:rPr>
                <w:rFonts w:ascii="Times New Roman" w:hAnsi="Times New Roman" w:cs="Times New Roman" w:eastAsiaTheme="majorEastAsia"/>
                <w:color w:val="000000" w:themeColor="text1"/>
                <w:sz w:val="24"/>
                <w:szCs w:val="20"/>
                <w14:textFill>
                  <w14:solidFill>
                    <w14:schemeClr w14:val="tx1"/>
                  </w14:solidFill>
                </w14:textFill>
              </w:rPr>
              <w:t>10</w:t>
            </w:r>
          </w:p>
        </w:tc>
        <w:tc>
          <w:tcPr>
            <w:tcW w:w="4222" w:type="dxa"/>
            <w:vAlign w:val="center"/>
          </w:tcPr>
          <w:p>
            <w:pPr>
              <w:spacing w:line="340" w:lineRule="exact"/>
              <w:ind w:firstLine="0" w:firstLineChars="0"/>
              <w:rPr>
                <w:rFonts w:ascii="Times New Roman" w:hAnsi="Times New Roman" w:cs="Times New Roman" w:eastAsiaTheme="majorEastAsia"/>
                <w:color w:val="000000" w:themeColor="text1"/>
                <w:sz w:val="24"/>
                <w:szCs w:val="20"/>
                <w14:textFill>
                  <w14:solidFill>
                    <w14:schemeClr w14:val="tx1"/>
                  </w14:solidFill>
                </w14:textFill>
              </w:rPr>
            </w:pPr>
            <w:r>
              <w:rPr>
                <w:rFonts w:ascii="Times New Roman" w:hAnsi="Times New Roman" w:cs="Times New Roman" w:eastAsiaTheme="majorEastAsia"/>
                <w:color w:val="000000" w:themeColor="text1"/>
                <w:sz w:val="24"/>
                <w:szCs w:val="20"/>
                <w14:textFill>
                  <w14:solidFill>
                    <w14:schemeClr w14:val="tx1"/>
                  </w14:solidFill>
                </w14:textFill>
              </w:rPr>
              <w:t>儿童青少年总体近视率（%）</w:t>
            </w:r>
          </w:p>
        </w:tc>
        <w:tc>
          <w:tcPr>
            <w:tcW w:w="1165" w:type="dxa"/>
            <w:vAlign w:val="center"/>
          </w:tcPr>
          <w:p>
            <w:pPr>
              <w:spacing w:line="340" w:lineRule="exact"/>
              <w:ind w:firstLine="0" w:firstLineChars="0"/>
              <w:rPr>
                <w:rFonts w:ascii="Times New Roman" w:hAnsi="Times New Roman" w:cs="Times New Roman" w:eastAsiaTheme="majorEastAsia"/>
                <w:color w:val="000000" w:themeColor="text1"/>
                <w:sz w:val="24"/>
                <w:szCs w:val="20"/>
                <w14:textFill>
                  <w14:solidFill>
                    <w14:schemeClr w14:val="tx1"/>
                  </w14:solidFill>
                </w14:textFill>
              </w:rPr>
            </w:pPr>
            <w:r>
              <w:rPr>
                <w:rFonts w:ascii="Times New Roman" w:hAnsi="Times New Roman" w:cs="Times New Roman" w:eastAsiaTheme="majorEastAsia"/>
                <w:color w:val="000000" w:themeColor="text1"/>
                <w:sz w:val="24"/>
                <w:szCs w:val="20"/>
                <w14:textFill>
                  <w14:solidFill>
                    <w14:schemeClr w14:val="tx1"/>
                  </w14:solidFill>
                </w14:textFill>
              </w:rPr>
              <w:t>52.65</w:t>
            </w:r>
          </w:p>
        </w:tc>
        <w:tc>
          <w:tcPr>
            <w:tcW w:w="1569" w:type="dxa"/>
            <w:vAlign w:val="center"/>
          </w:tcPr>
          <w:p>
            <w:pPr>
              <w:spacing w:line="340" w:lineRule="exact"/>
              <w:ind w:firstLine="0" w:firstLineChars="0"/>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每年降低0.5个百分点</w:t>
            </w:r>
          </w:p>
        </w:tc>
        <w:tc>
          <w:tcPr>
            <w:tcW w:w="796" w:type="dxa"/>
            <w:vAlign w:val="center"/>
          </w:tcPr>
          <w:p>
            <w:pPr>
              <w:spacing w:line="340" w:lineRule="exact"/>
              <w:ind w:firstLine="0" w:firstLineChars="0"/>
              <w:rPr>
                <w:rFonts w:ascii="Times New Roman" w:hAnsi="Times New Roman" w:cs="Times New Roman" w:eastAsiaTheme="majorEastAsia"/>
                <w:color w:val="000000" w:themeColor="text1"/>
                <w:sz w:val="24"/>
                <w:szCs w:val="20"/>
                <w14:textFill>
                  <w14:solidFill>
                    <w14:schemeClr w14:val="tx1"/>
                  </w14:solidFill>
                </w14:textFill>
              </w:rPr>
            </w:pPr>
            <w:r>
              <w:rPr>
                <w:rFonts w:ascii="Times New Roman" w:hAnsi="Times New Roman" w:cs="Times New Roman" w:eastAsiaTheme="majorEastAsia"/>
                <w:color w:val="000000" w:themeColor="text1"/>
                <w:sz w:val="24"/>
                <w:szCs w:val="20"/>
                <w14:textFill>
                  <w14:solidFill>
                    <w14:schemeClr w14:val="tx1"/>
                  </w14:solidFill>
                </w14:textFill>
              </w:rPr>
              <w:t>预期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74" w:type="dxa"/>
            <w:vMerge w:val="continue"/>
            <w:vAlign w:val="center"/>
          </w:tcPr>
          <w:p>
            <w:pPr>
              <w:spacing w:line="340" w:lineRule="exact"/>
              <w:ind w:firstLine="0" w:firstLineChars="0"/>
              <w:jc w:val="center"/>
              <w:rPr>
                <w:rFonts w:ascii="Times New Roman" w:hAnsi="Times New Roman" w:cs="Times New Roman" w:eastAsiaTheme="majorEastAsia"/>
                <w:color w:val="000000" w:themeColor="text1"/>
                <w:sz w:val="24"/>
                <w:szCs w:val="20"/>
                <w14:textFill>
                  <w14:solidFill>
                    <w14:schemeClr w14:val="tx1"/>
                  </w14:solidFill>
                </w14:textFill>
              </w:rPr>
            </w:pPr>
          </w:p>
        </w:tc>
        <w:tc>
          <w:tcPr>
            <w:tcW w:w="582" w:type="dxa"/>
            <w:vAlign w:val="center"/>
          </w:tcPr>
          <w:p>
            <w:pPr>
              <w:spacing w:line="340" w:lineRule="exact"/>
              <w:ind w:firstLine="0" w:firstLineChars="0"/>
              <w:rPr>
                <w:rFonts w:ascii="Times New Roman" w:hAnsi="Times New Roman" w:cs="Times New Roman" w:eastAsiaTheme="majorEastAsia"/>
                <w:color w:val="000000" w:themeColor="text1"/>
                <w:sz w:val="24"/>
                <w:szCs w:val="20"/>
                <w14:textFill>
                  <w14:solidFill>
                    <w14:schemeClr w14:val="tx1"/>
                  </w14:solidFill>
                </w14:textFill>
              </w:rPr>
            </w:pPr>
            <w:r>
              <w:rPr>
                <w:rFonts w:ascii="Times New Roman" w:hAnsi="Times New Roman" w:cs="Times New Roman" w:eastAsiaTheme="majorEastAsia"/>
                <w:color w:val="000000" w:themeColor="text1"/>
                <w:sz w:val="24"/>
                <w:szCs w:val="20"/>
                <w14:textFill>
                  <w14:solidFill>
                    <w14:schemeClr w14:val="tx1"/>
                  </w14:solidFill>
                </w14:textFill>
              </w:rPr>
              <w:t>11</w:t>
            </w:r>
          </w:p>
        </w:tc>
        <w:tc>
          <w:tcPr>
            <w:tcW w:w="4222" w:type="dxa"/>
            <w:vAlign w:val="center"/>
          </w:tcPr>
          <w:p>
            <w:pPr>
              <w:spacing w:line="340" w:lineRule="exact"/>
              <w:ind w:firstLine="0" w:firstLineChars="0"/>
              <w:rPr>
                <w:rFonts w:ascii="Times New Roman" w:hAnsi="Times New Roman" w:cs="Times New Roman" w:eastAsiaTheme="majorEastAsia"/>
                <w:color w:val="000000" w:themeColor="text1"/>
                <w:sz w:val="24"/>
                <w:szCs w:val="20"/>
                <w14:textFill>
                  <w14:solidFill>
                    <w14:schemeClr w14:val="tx1"/>
                  </w14:solidFill>
                </w14:textFill>
              </w:rPr>
            </w:pPr>
            <w:r>
              <w:rPr>
                <w:rFonts w:ascii="Times New Roman" w:hAnsi="Times New Roman" w:cs="Times New Roman" w:eastAsiaTheme="majorEastAsia"/>
                <w:color w:val="000000" w:themeColor="text1"/>
                <w:sz w:val="24"/>
                <w:szCs w:val="20"/>
                <w14:textFill>
                  <w14:solidFill>
                    <w14:schemeClr w14:val="tx1"/>
                  </w14:solidFill>
                </w14:textFill>
              </w:rPr>
              <w:t>65岁及以上老年人城乡社区规范健康管理服务率（%）</w:t>
            </w:r>
          </w:p>
        </w:tc>
        <w:tc>
          <w:tcPr>
            <w:tcW w:w="1165" w:type="dxa"/>
            <w:vAlign w:val="center"/>
          </w:tcPr>
          <w:p>
            <w:pPr>
              <w:spacing w:line="340" w:lineRule="exact"/>
              <w:ind w:firstLine="0" w:firstLineChars="0"/>
              <w:rPr>
                <w:rFonts w:ascii="Times New Roman" w:hAnsi="Times New Roman" w:cs="Times New Roman" w:eastAsiaTheme="majorEastAsia"/>
                <w:color w:val="000000" w:themeColor="text1"/>
                <w:sz w:val="24"/>
                <w:szCs w:val="20"/>
                <w14:textFill>
                  <w14:solidFill>
                    <w14:schemeClr w14:val="tx1"/>
                  </w14:solidFill>
                </w14:textFill>
              </w:rPr>
            </w:pPr>
            <w:r>
              <w:rPr>
                <w:rFonts w:ascii="Times New Roman" w:hAnsi="Times New Roman" w:cs="Times New Roman" w:eastAsiaTheme="majorEastAsia"/>
                <w:color w:val="000000" w:themeColor="text1"/>
                <w:sz w:val="24"/>
                <w:szCs w:val="20"/>
                <w14:textFill>
                  <w14:solidFill>
                    <w14:schemeClr w14:val="tx1"/>
                  </w14:solidFill>
                </w14:textFill>
              </w:rPr>
              <w:t>73.61</w:t>
            </w:r>
          </w:p>
        </w:tc>
        <w:tc>
          <w:tcPr>
            <w:tcW w:w="1569" w:type="dxa"/>
            <w:vAlign w:val="center"/>
          </w:tcPr>
          <w:p>
            <w:pPr>
              <w:spacing w:line="340" w:lineRule="exact"/>
              <w:ind w:firstLine="0" w:firstLineChars="0"/>
              <w:rPr>
                <w:rFonts w:ascii="Times New Roman" w:hAnsi="Times New Roman" w:cs="Times New Roman" w:eastAsiaTheme="majorEastAsia"/>
                <w:color w:val="000000" w:themeColor="text1"/>
                <w:sz w:val="24"/>
                <w:szCs w:val="20"/>
                <w14:textFill>
                  <w14:solidFill>
                    <w14:schemeClr w14:val="tx1"/>
                  </w14:solidFill>
                </w14:textFill>
              </w:rPr>
            </w:pPr>
            <w:r>
              <w:rPr>
                <w:rFonts w:ascii="Times New Roman" w:hAnsi="Times New Roman" w:cs="Times New Roman" w:eastAsiaTheme="majorEastAsia"/>
                <w:color w:val="000000" w:themeColor="text1"/>
                <w:sz w:val="24"/>
                <w:szCs w:val="20"/>
                <w14:textFill>
                  <w14:solidFill>
                    <w14:schemeClr w14:val="tx1"/>
                  </w14:solidFill>
                </w14:textFill>
              </w:rPr>
              <w:t>≥75</w:t>
            </w:r>
          </w:p>
        </w:tc>
        <w:tc>
          <w:tcPr>
            <w:tcW w:w="796" w:type="dxa"/>
            <w:vAlign w:val="center"/>
          </w:tcPr>
          <w:p>
            <w:pPr>
              <w:spacing w:line="340" w:lineRule="exact"/>
              <w:ind w:firstLine="0" w:firstLineChars="0"/>
              <w:rPr>
                <w:rFonts w:ascii="Times New Roman" w:hAnsi="Times New Roman" w:cs="Times New Roman" w:eastAsiaTheme="majorEastAsia"/>
                <w:color w:val="000000" w:themeColor="text1"/>
                <w:sz w:val="24"/>
                <w:szCs w:val="20"/>
                <w14:textFill>
                  <w14:solidFill>
                    <w14:schemeClr w14:val="tx1"/>
                  </w14:solidFill>
                </w14:textFill>
              </w:rPr>
            </w:pPr>
            <w:r>
              <w:rPr>
                <w:rFonts w:ascii="Times New Roman" w:hAnsi="Times New Roman" w:cs="Times New Roman" w:eastAsiaTheme="majorEastAsia"/>
                <w:color w:val="000000" w:themeColor="text1"/>
                <w:sz w:val="24"/>
                <w:szCs w:val="20"/>
                <w14:textFill>
                  <w14:solidFill>
                    <w14:schemeClr w14:val="tx1"/>
                  </w14:solidFill>
                </w14:textFill>
              </w:rPr>
              <w:t>预期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74" w:type="dxa"/>
            <w:vMerge w:val="continue"/>
            <w:vAlign w:val="center"/>
          </w:tcPr>
          <w:p>
            <w:pPr>
              <w:spacing w:line="340" w:lineRule="exact"/>
              <w:ind w:firstLine="0" w:firstLineChars="0"/>
              <w:jc w:val="center"/>
              <w:rPr>
                <w:rFonts w:ascii="Times New Roman" w:hAnsi="Times New Roman" w:cs="Times New Roman" w:eastAsiaTheme="majorEastAsia"/>
                <w:color w:val="000000" w:themeColor="text1"/>
                <w:sz w:val="24"/>
                <w:szCs w:val="20"/>
                <w14:textFill>
                  <w14:solidFill>
                    <w14:schemeClr w14:val="tx1"/>
                  </w14:solidFill>
                </w14:textFill>
              </w:rPr>
            </w:pPr>
          </w:p>
        </w:tc>
        <w:tc>
          <w:tcPr>
            <w:tcW w:w="582" w:type="dxa"/>
            <w:vAlign w:val="center"/>
          </w:tcPr>
          <w:p>
            <w:pPr>
              <w:spacing w:line="340" w:lineRule="exact"/>
              <w:ind w:firstLine="0" w:firstLineChars="0"/>
              <w:rPr>
                <w:rFonts w:ascii="Times New Roman" w:hAnsi="Times New Roman" w:cs="Times New Roman" w:eastAsiaTheme="majorEastAsia"/>
                <w:color w:val="000000" w:themeColor="text1"/>
                <w:sz w:val="24"/>
                <w:szCs w:val="20"/>
                <w14:textFill>
                  <w14:solidFill>
                    <w14:schemeClr w14:val="tx1"/>
                  </w14:solidFill>
                </w14:textFill>
              </w:rPr>
            </w:pPr>
            <w:r>
              <w:rPr>
                <w:rFonts w:ascii="Times New Roman" w:hAnsi="Times New Roman" w:cs="Times New Roman" w:eastAsiaTheme="majorEastAsia"/>
                <w:color w:val="000000" w:themeColor="text1"/>
                <w:sz w:val="24"/>
                <w:szCs w:val="20"/>
                <w14:textFill>
                  <w14:solidFill>
                    <w14:schemeClr w14:val="tx1"/>
                  </w14:solidFill>
                </w14:textFill>
              </w:rPr>
              <w:t>12</w:t>
            </w:r>
          </w:p>
        </w:tc>
        <w:tc>
          <w:tcPr>
            <w:tcW w:w="4222" w:type="dxa"/>
            <w:vAlign w:val="center"/>
          </w:tcPr>
          <w:p>
            <w:pPr>
              <w:spacing w:line="340" w:lineRule="exact"/>
              <w:ind w:firstLine="0" w:firstLineChars="0"/>
              <w:rPr>
                <w:rFonts w:ascii="Times New Roman" w:hAnsi="Times New Roman" w:cs="Times New Roman" w:eastAsiaTheme="majorEastAsia"/>
                <w:color w:val="000000" w:themeColor="text1"/>
                <w:sz w:val="24"/>
                <w:szCs w:val="20"/>
                <w14:textFill>
                  <w14:solidFill>
                    <w14:schemeClr w14:val="tx1"/>
                  </w14:solidFill>
                </w14:textFill>
              </w:rPr>
            </w:pPr>
            <w:r>
              <w:rPr>
                <w:rFonts w:ascii="Times New Roman" w:hAnsi="Times New Roman" w:cs="Times New Roman" w:eastAsiaTheme="majorEastAsia"/>
                <w:color w:val="000000" w:themeColor="text1"/>
                <w:sz w:val="24"/>
                <w:szCs w:val="20"/>
                <w14:textFill>
                  <w14:solidFill>
                    <w14:schemeClr w14:val="tx1"/>
                  </w14:solidFill>
                </w14:textFill>
              </w:rPr>
              <w:t>以苏木乡镇（街道）为单位适龄儿童规划免疫疫苗接种率（%）</w:t>
            </w:r>
            <w:r>
              <w:rPr>
                <w:rFonts w:ascii="Times New Roman" w:hAnsi="Times New Roman" w:cs="Times New Roman" w:eastAsiaTheme="majorEastAsia"/>
                <w:color w:val="000000" w:themeColor="text1"/>
                <w:sz w:val="24"/>
                <w:szCs w:val="20"/>
                <w14:textFill>
                  <w14:solidFill>
                    <w14:schemeClr w14:val="tx1"/>
                  </w14:solidFill>
                </w14:textFill>
              </w:rPr>
              <w:tab/>
            </w:r>
            <w:r>
              <w:rPr>
                <w:rFonts w:ascii="Times New Roman" w:hAnsi="Times New Roman" w:cs="Times New Roman" w:eastAsiaTheme="majorEastAsia"/>
                <w:color w:val="000000" w:themeColor="text1"/>
                <w:sz w:val="24"/>
                <w:szCs w:val="20"/>
                <w14:textFill>
                  <w14:solidFill>
                    <w14:schemeClr w14:val="tx1"/>
                  </w14:solidFill>
                </w14:textFill>
              </w:rPr>
              <w:tab/>
            </w:r>
          </w:p>
        </w:tc>
        <w:tc>
          <w:tcPr>
            <w:tcW w:w="1165" w:type="dxa"/>
            <w:vAlign w:val="center"/>
          </w:tcPr>
          <w:p>
            <w:pPr>
              <w:spacing w:line="340" w:lineRule="exact"/>
              <w:ind w:firstLine="0" w:firstLineChars="0"/>
              <w:rPr>
                <w:rFonts w:ascii="Times New Roman" w:hAnsi="Times New Roman" w:cs="Times New Roman" w:eastAsiaTheme="majorEastAsia"/>
                <w:color w:val="000000" w:themeColor="text1"/>
                <w:sz w:val="24"/>
                <w:szCs w:val="20"/>
                <w14:textFill>
                  <w14:solidFill>
                    <w14:schemeClr w14:val="tx1"/>
                  </w14:solidFill>
                </w14:textFill>
              </w:rPr>
            </w:pPr>
            <w:r>
              <w:rPr>
                <w:rFonts w:ascii="Times New Roman" w:hAnsi="Times New Roman" w:cs="Times New Roman" w:eastAsiaTheme="majorEastAsia"/>
                <w:color w:val="000000" w:themeColor="text1"/>
                <w:sz w:val="24"/>
                <w:szCs w:val="20"/>
                <w14:textFill>
                  <w14:solidFill>
                    <w14:schemeClr w14:val="tx1"/>
                  </w14:solidFill>
                </w14:textFill>
              </w:rPr>
              <w:t>88.73</w:t>
            </w:r>
          </w:p>
        </w:tc>
        <w:tc>
          <w:tcPr>
            <w:tcW w:w="1569" w:type="dxa"/>
            <w:vAlign w:val="center"/>
          </w:tcPr>
          <w:p>
            <w:pPr>
              <w:spacing w:line="340" w:lineRule="exact"/>
              <w:ind w:firstLine="0" w:firstLineChars="0"/>
              <w:rPr>
                <w:rFonts w:ascii="Times New Roman" w:hAnsi="Times New Roman" w:cs="Times New Roman" w:eastAsiaTheme="majorEastAsia"/>
                <w:color w:val="000000" w:themeColor="text1"/>
                <w:sz w:val="24"/>
                <w:szCs w:val="20"/>
                <w14:textFill>
                  <w14:solidFill>
                    <w14:schemeClr w14:val="tx1"/>
                  </w14:solidFill>
                </w14:textFill>
              </w:rPr>
            </w:pPr>
            <w:r>
              <w:rPr>
                <w:rFonts w:ascii="Times New Roman" w:hAnsi="Times New Roman" w:cs="Times New Roman" w:eastAsiaTheme="majorEastAsia"/>
                <w:color w:val="000000" w:themeColor="text1"/>
                <w:sz w:val="24"/>
                <w:szCs w:val="20"/>
                <w14:textFill>
                  <w14:solidFill>
                    <w14:schemeClr w14:val="tx1"/>
                  </w14:solidFill>
                </w14:textFill>
              </w:rPr>
              <w:t>≥95</w:t>
            </w:r>
          </w:p>
        </w:tc>
        <w:tc>
          <w:tcPr>
            <w:tcW w:w="796" w:type="dxa"/>
            <w:vAlign w:val="center"/>
          </w:tcPr>
          <w:p>
            <w:pPr>
              <w:spacing w:line="340" w:lineRule="exact"/>
              <w:ind w:firstLine="0" w:firstLineChars="0"/>
              <w:rPr>
                <w:rFonts w:ascii="Times New Roman" w:hAnsi="Times New Roman" w:cs="Times New Roman" w:eastAsiaTheme="majorEastAsia"/>
                <w:color w:val="000000" w:themeColor="text1"/>
                <w:sz w:val="24"/>
                <w:szCs w:val="20"/>
                <w14:textFill>
                  <w14:solidFill>
                    <w14:schemeClr w14:val="tx1"/>
                  </w14:solidFill>
                </w14:textFill>
              </w:rPr>
            </w:pPr>
            <w:r>
              <w:rPr>
                <w:rFonts w:ascii="Times New Roman" w:hAnsi="Times New Roman" w:cs="Times New Roman" w:eastAsiaTheme="majorEastAsia"/>
                <w:color w:val="000000" w:themeColor="text1"/>
                <w:sz w:val="24"/>
                <w:szCs w:val="20"/>
                <w14:textFill>
                  <w14:solidFill>
                    <w14:schemeClr w14:val="tx1"/>
                  </w14:solidFill>
                </w14:textFill>
              </w:rPr>
              <w:t>约束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74" w:type="dxa"/>
            <w:vMerge w:val="continue"/>
            <w:vAlign w:val="center"/>
          </w:tcPr>
          <w:p>
            <w:pPr>
              <w:spacing w:line="340" w:lineRule="exact"/>
              <w:ind w:firstLine="0" w:firstLineChars="0"/>
              <w:jc w:val="center"/>
              <w:rPr>
                <w:rFonts w:ascii="Times New Roman" w:hAnsi="Times New Roman" w:cs="Times New Roman" w:eastAsiaTheme="majorEastAsia"/>
                <w:color w:val="000000" w:themeColor="text1"/>
                <w:sz w:val="24"/>
                <w:szCs w:val="20"/>
                <w14:textFill>
                  <w14:solidFill>
                    <w14:schemeClr w14:val="tx1"/>
                  </w14:solidFill>
                </w14:textFill>
              </w:rPr>
            </w:pPr>
          </w:p>
        </w:tc>
        <w:tc>
          <w:tcPr>
            <w:tcW w:w="582" w:type="dxa"/>
            <w:vAlign w:val="center"/>
          </w:tcPr>
          <w:p>
            <w:pPr>
              <w:spacing w:line="340" w:lineRule="exact"/>
              <w:ind w:firstLine="0" w:firstLineChars="0"/>
              <w:rPr>
                <w:rFonts w:ascii="Times New Roman" w:hAnsi="Times New Roman" w:cs="Times New Roman" w:eastAsiaTheme="majorEastAsia"/>
                <w:color w:val="000000" w:themeColor="text1"/>
                <w:sz w:val="24"/>
                <w:szCs w:val="20"/>
                <w14:textFill>
                  <w14:solidFill>
                    <w14:schemeClr w14:val="tx1"/>
                  </w14:solidFill>
                </w14:textFill>
              </w:rPr>
            </w:pPr>
            <w:r>
              <w:rPr>
                <w:rFonts w:ascii="Times New Roman" w:hAnsi="Times New Roman" w:cs="Times New Roman" w:eastAsiaTheme="majorEastAsia"/>
                <w:color w:val="000000" w:themeColor="text1"/>
                <w:sz w:val="24"/>
                <w:szCs w:val="20"/>
                <w14:textFill>
                  <w14:solidFill>
                    <w14:schemeClr w14:val="tx1"/>
                  </w14:solidFill>
                </w14:textFill>
              </w:rPr>
              <w:t>13</w:t>
            </w:r>
          </w:p>
        </w:tc>
        <w:tc>
          <w:tcPr>
            <w:tcW w:w="4222" w:type="dxa"/>
            <w:vAlign w:val="center"/>
          </w:tcPr>
          <w:p>
            <w:pPr>
              <w:spacing w:line="340" w:lineRule="exact"/>
              <w:ind w:firstLine="0" w:firstLineChars="0"/>
              <w:rPr>
                <w:rFonts w:ascii="Times New Roman" w:hAnsi="Times New Roman" w:cs="Times New Roman" w:eastAsiaTheme="majorEastAsia"/>
                <w:color w:val="000000" w:themeColor="text1"/>
                <w:sz w:val="24"/>
                <w:szCs w:val="20"/>
                <w14:textFill>
                  <w14:solidFill>
                    <w14:schemeClr w14:val="tx1"/>
                  </w14:solidFill>
                </w14:textFill>
              </w:rPr>
            </w:pPr>
            <w:r>
              <w:rPr>
                <w:rFonts w:ascii="Times New Roman" w:hAnsi="Times New Roman" w:cs="Times New Roman" w:eastAsiaTheme="majorEastAsia"/>
                <w:color w:val="000000" w:themeColor="text1"/>
                <w:sz w:val="24"/>
                <w:szCs w:val="20"/>
                <w14:textFill>
                  <w14:solidFill>
                    <w14:schemeClr w14:val="tx1"/>
                  </w14:solidFill>
                </w14:textFill>
              </w:rPr>
              <w:t>艾滋病全人群感染率（%）</w:t>
            </w:r>
          </w:p>
        </w:tc>
        <w:tc>
          <w:tcPr>
            <w:tcW w:w="1165" w:type="dxa"/>
            <w:vAlign w:val="center"/>
          </w:tcPr>
          <w:p>
            <w:pPr>
              <w:spacing w:line="340" w:lineRule="exact"/>
              <w:ind w:firstLine="0" w:firstLineChars="0"/>
              <w:rPr>
                <w:rFonts w:ascii="Times New Roman" w:hAnsi="Times New Roman" w:cs="Times New Roman" w:eastAsiaTheme="majorEastAsia"/>
                <w:color w:val="000000" w:themeColor="text1"/>
                <w:sz w:val="24"/>
                <w:szCs w:val="20"/>
                <w14:textFill>
                  <w14:solidFill>
                    <w14:schemeClr w14:val="tx1"/>
                  </w14:solidFill>
                </w14:textFill>
              </w:rPr>
            </w:pPr>
            <w:r>
              <w:rPr>
                <w:rFonts w:ascii="Times New Roman" w:hAnsi="Times New Roman" w:cs="Times New Roman" w:eastAsiaTheme="majorEastAsia"/>
                <w:color w:val="000000" w:themeColor="text1"/>
                <w:sz w:val="24"/>
                <w:szCs w:val="20"/>
                <w14:textFill>
                  <w14:solidFill>
                    <w14:schemeClr w14:val="tx1"/>
                  </w14:solidFill>
                </w14:textFill>
              </w:rPr>
              <w:t>0.02</w:t>
            </w:r>
          </w:p>
        </w:tc>
        <w:tc>
          <w:tcPr>
            <w:tcW w:w="1569" w:type="dxa"/>
            <w:vAlign w:val="center"/>
          </w:tcPr>
          <w:p>
            <w:pPr>
              <w:spacing w:line="340" w:lineRule="exact"/>
              <w:ind w:firstLine="0" w:firstLineChars="0"/>
              <w:rPr>
                <w:rFonts w:ascii="Times New Roman" w:hAnsi="Times New Roman" w:cs="Times New Roman" w:eastAsiaTheme="majorEastAsia"/>
                <w:color w:val="000000" w:themeColor="text1"/>
                <w:sz w:val="24"/>
                <w:szCs w:val="20"/>
                <w14:textFill>
                  <w14:solidFill>
                    <w14:schemeClr w14:val="tx1"/>
                  </w14:solidFill>
                </w14:textFill>
              </w:rPr>
            </w:pPr>
            <w:r>
              <w:rPr>
                <w:rFonts w:ascii="Times New Roman" w:hAnsi="Times New Roman" w:cs="Times New Roman" w:eastAsiaTheme="majorEastAsia"/>
                <w:color w:val="000000" w:themeColor="text1"/>
                <w:sz w:val="24"/>
                <w:szCs w:val="20"/>
                <w14:textFill>
                  <w14:solidFill>
                    <w14:schemeClr w14:val="tx1"/>
                  </w14:solidFill>
                </w14:textFill>
              </w:rPr>
              <w:t>＜0.17</w:t>
            </w:r>
          </w:p>
        </w:tc>
        <w:tc>
          <w:tcPr>
            <w:tcW w:w="796" w:type="dxa"/>
            <w:vAlign w:val="center"/>
          </w:tcPr>
          <w:p>
            <w:pPr>
              <w:spacing w:line="340" w:lineRule="exact"/>
              <w:ind w:firstLine="0" w:firstLineChars="0"/>
              <w:rPr>
                <w:rFonts w:ascii="Times New Roman" w:hAnsi="Times New Roman" w:cs="Times New Roman" w:eastAsiaTheme="majorEastAsia"/>
                <w:color w:val="000000" w:themeColor="text1"/>
                <w:sz w:val="24"/>
                <w:szCs w:val="20"/>
                <w14:textFill>
                  <w14:solidFill>
                    <w14:schemeClr w14:val="tx1"/>
                  </w14:solidFill>
                </w14:textFill>
              </w:rPr>
            </w:pPr>
            <w:r>
              <w:rPr>
                <w:rFonts w:ascii="Times New Roman" w:hAnsi="Times New Roman" w:cs="Times New Roman" w:eastAsiaTheme="majorEastAsia"/>
                <w:color w:val="000000" w:themeColor="text1"/>
                <w:sz w:val="24"/>
                <w:szCs w:val="20"/>
                <w14:textFill>
                  <w14:solidFill>
                    <w14:schemeClr w14:val="tx1"/>
                  </w14:solidFill>
                </w14:textFill>
              </w:rPr>
              <w:t>预期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74" w:type="dxa"/>
            <w:vMerge w:val="continue"/>
            <w:vAlign w:val="center"/>
          </w:tcPr>
          <w:p>
            <w:pPr>
              <w:spacing w:line="340" w:lineRule="exact"/>
              <w:ind w:firstLine="0" w:firstLineChars="0"/>
              <w:jc w:val="center"/>
              <w:rPr>
                <w:rFonts w:ascii="Times New Roman" w:hAnsi="Times New Roman" w:cs="Times New Roman" w:eastAsiaTheme="majorEastAsia"/>
                <w:color w:val="000000" w:themeColor="text1"/>
                <w:sz w:val="24"/>
                <w:szCs w:val="20"/>
                <w14:textFill>
                  <w14:solidFill>
                    <w14:schemeClr w14:val="tx1"/>
                  </w14:solidFill>
                </w14:textFill>
              </w:rPr>
            </w:pPr>
          </w:p>
        </w:tc>
        <w:tc>
          <w:tcPr>
            <w:tcW w:w="582" w:type="dxa"/>
            <w:vAlign w:val="center"/>
          </w:tcPr>
          <w:p>
            <w:pPr>
              <w:spacing w:line="340" w:lineRule="exact"/>
              <w:ind w:firstLine="0" w:firstLineChars="0"/>
              <w:rPr>
                <w:rFonts w:ascii="Times New Roman" w:hAnsi="Times New Roman" w:cs="Times New Roman" w:eastAsiaTheme="majorEastAsia"/>
                <w:color w:val="000000" w:themeColor="text1"/>
                <w:sz w:val="24"/>
                <w:szCs w:val="20"/>
                <w14:textFill>
                  <w14:solidFill>
                    <w14:schemeClr w14:val="tx1"/>
                  </w14:solidFill>
                </w14:textFill>
              </w:rPr>
            </w:pPr>
            <w:r>
              <w:rPr>
                <w:rFonts w:ascii="Times New Roman" w:hAnsi="Times New Roman" w:cs="Times New Roman" w:eastAsiaTheme="majorEastAsia"/>
                <w:color w:val="000000" w:themeColor="text1"/>
                <w:sz w:val="24"/>
                <w:szCs w:val="20"/>
                <w14:textFill>
                  <w14:solidFill>
                    <w14:schemeClr w14:val="tx1"/>
                  </w14:solidFill>
                </w14:textFill>
              </w:rPr>
              <w:t>14</w:t>
            </w:r>
          </w:p>
        </w:tc>
        <w:tc>
          <w:tcPr>
            <w:tcW w:w="4222" w:type="dxa"/>
            <w:vAlign w:val="center"/>
          </w:tcPr>
          <w:p>
            <w:pPr>
              <w:spacing w:line="340" w:lineRule="exact"/>
              <w:ind w:firstLine="0" w:firstLineChars="0"/>
              <w:rPr>
                <w:rFonts w:ascii="Times New Roman" w:hAnsi="Times New Roman" w:cs="Times New Roman" w:eastAsiaTheme="majorEastAsia"/>
                <w:color w:val="000000" w:themeColor="text1"/>
                <w:sz w:val="24"/>
                <w:szCs w:val="20"/>
                <w14:textFill>
                  <w14:solidFill>
                    <w14:schemeClr w14:val="tx1"/>
                  </w14:solidFill>
                </w14:textFill>
              </w:rPr>
            </w:pPr>
            <w:r>
              <w:rPr>
                <w:rFonts w:ascii="Times New Roman" w:hAnsi="Times New Roman" w:cs="Times New Roman" w:eastAsiaTheme="majorEastAsia"/>
                <w:color w:val="000000" w:themeColor="text1"/>
                <w:sz w:val="24"/>
                <w:szCs w:val="20"/>
                <w14:textFill>
                  <w14:solidFill>
                    <w14:schemeClr w14:val="tx1"/>
                  </w14:solidFill>
                </w14:textFill>
              </w:rPr>
              <w:t>高血压和2型糖尿病患者规范化管理服务率（%）</w:t>
            </w:r>
          </w:p>
        </w:tc>
        <w:tc>
          <w:tcPr>
            <w:tcW w:w="1165" w:type="dxa"/>
            <w:vAlign w:val="center"/>
          </w:tcPr>
          <w:p>
            <w:pPr>
              <w:spacing w:line="340" w:lineRule="exact"/>
              <w:ind w:firstLine="0" w:firstLineChars="0"/>
              <w:rPr>
                <w:rFonts w:ascii="Times New Roman" w:hAnsi="Times New Roman" w:cs="Times New Roman" w:eastAsiaTheme="majorEastAsia"/>
                <w:color w:val="000000" w:themeColor="text1"/>
                <w:sz w:val="24"/>
                <w:szCs w:val="20"/>
                <w14:textFill>
                  <w14:solidFill>
                    <w14:schemeClr w14:val="tx1"/>
                  </w14:solidFill>
                </w14:textFill>
              </w:rPr>
            </w:pPr>
            <w:r>
              <w:rPr>
                <w:rFonts w:ascii="Times New Roman" w:hAnsi="Times New Roman" w:cs="Times New Roman" w:eastAsiaTheme="majorEastAsia"/>
                <w:color w:val="000000" w:themeColor="text1"/>
                <w:sz w:val="24"/>
                <w:szCs w:val="20"/>
                <w14:textFill>
                  <w14:solidFill>
                    <w14:schemeClr w14:val="tx1"/>
                  </w14:solidFill>
                </w14:textFill>
              </w:rPr>
              <w:t>76.8</w:t>
            </w:r>
          </w:p>
          <w:p>
            <w:pPr>
              <w:spacing w:line="340" w:lineRule="exact"/>
              <w:ind w:firstLine="0" w:firstLineChars="0"/>
              <w:rPr>
                <w:rFonts w:ascii="Times New Roman" w:hAnsi="Times New Roman" w:cs="Times New Roman" w:eastAsiaTheme="majorEastAsia"/>
                <w:color w:val="000000" w:themeColor="text1"/>
                <w:sz w:val="24"/>
                <w:szCs w:val="20"/>
                <w14:textFill>
                  <w14:solidFill>
                    <w14:schemeClr w14:val="tx1"/>
                  </w14:solidFill>
                </w14:textFill>
              </w:rPr>
            </w:pPr>
            <w:r>
              <w:rPr>
                <w:rFonts w:ascii="Times New Roman" w:hAnsi="Times New Roman" w:cs="Times New Roman" w:eastAsiaTheme="majorEastAsia"/>
                <w:color w:val="000000" w:themeColor="text1"/>
                <w:sz w:val="24"/>
                <w:szCs w:val="20"/>
                <w14:textFill>
                  <w14:solidFill>
                    <w14:schemeClr w14:val="tx1"/>
                  </w14:solidFill>
                </w14:textFill>
              </w:rPr>
              <w:t>75.6</w:t>
            </w:r>
          </w:p>
        </w:tc>
        <w:tc>
          <w:tcPr>
            <w:tcW w:w="1569" w:type="dxa"/>
            <w:vAlign w:val="center"/>
          </w:tcPr>
          <w:p>
            <w:pPr>
              <w:spacing w:line="340" w:lineRule="exact"/>
              <w:ind w:firstLine="0" w:firstLineChars="0"/>
              <w:rPr>
                <w:rFonts w:ascii="Times New Roman" w:hAnsi="Times New Roman" w:cs="Times New Roman" w:eastAsiaTheme="majorEastAsia"/>
                <w:color w:val="000000" w:themeColor="text1"/>
                <w:sz w:val="24"/>
                <w:szCs w:val="20"/>
                <w14:textFill>
                  <w14:solidFill>
                    <w14:schemeClr w14:val="tx1"/>
                  </w14:solidFill>
                </w14:textFill>
              </w:rPr>
            </w:pPr>
            <w:r>
              <w:rPr>
                <w:rFonts w:ascii="Times New Roman" w:hAnsi="Times New Roman" w:cs="Times New Roman" w:eastAsiaTheme="majorEastAsia"/>
                <w:color w:val="000000" w:themeColor="text1"/>
                <w:sz w:val="24"/>
                <w:szCs w:val="20"/>
                <w14:textFill>
                  <w14:solidFill>
                    <w14:schemeClr w14:val="tx1"/>
                  </w14:solidFill>
                </w14:textFill>
              </w:rPr>
              <w:t>≥80</w:t>
            </w:r>
          </w:p>
        </w:tc>
        <w:tc>
          <w:tcPr>
            <w:tcW w:w="796" w:type="dxa"/>
            <w:vAlign w:val="center"/>
          </w:tcPr>
          <w:p>
            <w:pPr>
              <w:spacing w:line="340" w:lineRule="exact"/>
              <w:ind w:firstLine="0" w:firstLineChars="0"/>
              <w:rPr>
                <w:rFonts w:ascii="Times New Roman" w:hAnsi="Times New Roman" w:cs="Times New Roman" w:eastAsiaTheme="majorEastAsia"/>
                <w:color w:val="000000" w:themeColor="text1"/>
                <w:sz w:val="24"/>
                <w:szCs w:val="20"/>
                <w14:textFill>
                  <w14:solidFill>
                    <w14:schemeClr w14:val="tx1"/>
                  </w14:solidFill>
                </w14:textFill>
              </w:rPr>
            </w:pPr>
            <w:r>
              <w:rPr>
                <w:rFonts w:ascii="Times New Roman" w:hAnsi="Times New Roman" w:cs="Times New Roman" w:eastAsiaTheme="majorEastAsia"/>
                <w:color w:val="000000" w:themeColor="text1"/>
                <w:sz w:val="24"/>
                <w:szCs w:val="20"/>
                <w14:textFill>
                  <w14:solidFill>
                    <w14:schemeClr w14:val="tx1"/>
                  </w14:solidFill>
                </w14:textFill>
              </w:rPr>
              <w:t>约束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74" w:type="dxa"/>
            <w:vMerge w:val="continue"/>
            <w:vAlign w:val="center"/>
          </w:tcPr>
          <w:p>
            <w:pPr>
              <w:spacing w:line="340" w:lineRule="exact"/>
              <w:ind w:firstLine="0" w:firstLineChars="0"/>
              <w:jc w:val="center"/>
              <w:rPr>
                <w:rFonts w:ascii="Times New Roman" w:hAnsi="Times New Roman" w:cs="Times New Roman" w:eastAsiaTheme="majorEastAsia"/>
                <w:color w:val="000000" w:themeColor="text1"/>
                <w:sz w:val="24"/>
                <w:szCs w:val="20"/>
                <w14:textFill>
                  <w14:solidFill>
                    <w14:schemeClr w14:val="tx1"/>
                  </w14:solidFill>
                </w14:textFill>
              </w:rPr>
            </w:pPr>
          </w:p>
        </w:tc>
        <w:tc>
          <w:tcPr>
            <w:tcW w:w="582" w:type="dxa"/>
            <w:vAlign w:val="center"/>
          </w:tcPr>
          <w:p>
            <w:pPr>
              <w:spacing w:line="340" w:lineRule="exact"/>
              <w:ind w:firstLine="0" w:firstLineChars="0"/>
              <w:rPr>
                <w:rFonts w:ascii="Times New Roman" w:hAnsi="Times New Roman" w:cs="Times New Roman" w:eastAsiaTheme="majorEastAsia"/>
                <w:color w:val="000000" w:themeColor="text1"/>
                <w:sz w:val="24"/>
                <w:szCs w:val="20"/>
                <w14:textFill>
                  <w14:solidFill>
                    <w14:schemeClr w14:val="tx1"/>
                  </w14:solidFill>
                </w14:textFill>
              </w:rPr>
            </w:pPr>
            <w:r>
              <w:rPr>
                <w:rFonts w:ascii="Times New Roman" w:hAnsi="Times New Roman" w:cs="Times New Roman" w:eastAsiaTheme="majorEastAsia"/>
                <w:color w:val="000000" w:themeColor="text1"/>
                <w:sz w:val="24"/>
                <w:szCs w:val="20"/>
                <w14:textFill>
                  <w14:solidFill>
                    <w14:schemeClr w14:val="tx1"/>
                  </w14:solidFill>
                </w14:textFill>
              </w:rPr>
              <w:t>15</w:t>
            </w:r>
          </w:p>
        </w:tc>
        <w:tc>
          <w:tcPr>
            <w:tcW w:w="4222" w:type="dxa"/>
            <w:vAlign w:val="center"/>
          </w:tcPr>
          <w:p>
            <w:pPr>
              <w:spacing w:line="340" w:lineRule="exact"/>
              <w:ind w:firstLine="0" w:firstLineChars="0"/>
              <w:rPr>
                <w:rFonts w:ascii="Times New Roman" w:hAnsi="Times New Roman" w:cs="Times New Roman" w:eastAsiaTheme="majorEastAsia"/>
                <w:color w:val="000000" w:themeColor="text1"/>
                <w:sz w:val="24"/>
                <w:szCs w:val="20"/>
                <w14:textFill>
                  <w14:solidFill>
                    <w14:schemeClr w14:val="tx1"/>
                  </w14:solidFill>
                </w14:textFill>
              </w:rPr>
            </w:pPr>
            <w:r>
              <w:rPr>
                <w:rFonts w:ascii="Times New Roman" w:hAnsi="Times New Roman" w:cs="Times New Roman" w:eastAsiaTheme="majorEastAsia"/>
                <w:color w:val="000000" w:themeColor="text1"/>
                <w:sz w:val="24"/>
                <w:szCs w:val="20"/>
                <w14:textFill>
                  <w14:solidFill>
                    <w14:schemeClr w14:val="tx1"/>
                  </w14:solidFill>
                </w14:textFill>
              </w:rPr>
              <w:t>严重精神障碍管理率（%）</w:t>
            </w:r>
          </w:p>
        </w:tc>
        <w:tc>
          <w:tcPr>
            <w:tcW w:w="1165" w:type="dxa"/>
            <w:vAlign w:val="center"/>
          </w:tcPr>
          <w:p>
            <w:pPr>
              <w:spacing w:line="340" w:lineRule="exact"/>
              <w:ind w:firstLine="0" w:firstLineChars="0"/>
              <w:rPr>
                <w:rFonts w:ascii="Times New Roman" w:hAnsi="Times New Roman" w:cs="Times New Roman" w:eastAsiaTheme="majorEastAsia"/>
                <w:color w:val="000000" w:themeColor="text1"/>
                <w:sz w:val="24"/>
                <w:szCs w:val="20"/>
                <w14:textFill>
                  <w14:solidFill>
                    <w14:schemeClr w14:val="tx1"/>
                  </w14:solidFill>
                </w14:textFill>
              </w:rPr>
            </w:pPr>
            <w:r>
              <w:rPr>
                <w:rFonts w:ascii="Times New Roman" w:hAnsi="Times New Roman" w:cs="Times New Roman" w:eastAsiaTheme="majorEastAsia"/>
                <w:color w:val="000000" w:themeColor="text1"/>
                <w:sz w:val="24"/>
                <w:szCs w:val="20"/>
                <w14:textFill>
                  <w14:solidFill>
                    <w14:schemeClr w14:val="tx1"/>
                  </w14:solidFill>
                </w14:textFill>
              </w:rPr>
              <w:t>90.5</w:t>
            </w:r>
          </w:p>
        </w:tc>
        <w:tc>
          <w:tcPr>
            <w:tcW w:w="1569" w:type="dxa"/>
            <w:vAlign w:val="center"/>
          </w:tcPr>
          <w:p>
            <w:pPr>
              <w:spacing w:line="340" w:lineRule="exact"/>
              <w:ind w:firstLine="0" w:firstLineChars="0"/>
              <w:rPr>
                <w:rFonts w:ascii="Times New Roman" w:hAnsi="Times New Roman" w:cs="Times New Roman" w:eastAsiaTheme="majorEastAsia"/>
                <w:color w:val="000000" w:themeColor="text1"/>
                <w:sz w:val="24"/>
                <w:szCs w:val="20"/>
                <w14:textFill>
                  <w14:solidFill>
                    <w14:schemeClr w14:val="tx1"/>
                  </w14:solidFill>
                </w14:textFill>
              </w:rPr>
            </w:pPr>
            <w:r>
              <w:rPr>
                <w:rFonts w:ascii="Times New Roman" w:hAnsi="Times New Roman" w:cs="Times New Roman" w:eastAsiaTheme="majorEastAsia"/>
                <w:color w:val="000000" w:themeColor="text1"/>
                <w:sz w:val="24"/>
                <w:szCs w:val="20"/>
                <w14:textFill>
                  <w14:solidFill>
                    <w14:schemeClr w14:val="tx1"/>
                  </w14:solidFill>
                </w14:textFill>
              </w:rPr>
              <w:t>≥92</w:t>
            </w:r>
          </w:p>
        </w:tc>
        <w:tc>
          <w:tcPr>
            <w:tcW w:w="796" w:type="dxa"/>
            <w:vAlign w:val="center"/>
          </w:tcPr>
          <w:p>
            <w:pPr>
              <w:spacing w:line="340" w:lineRule="exact"/>
              <w:ind w:firstLine="0" w:firstLineChars="0"/>
              <w:rPr>
                <w:rFonts w:ascii="Times New Roman" w:hAnsi="Times New Roman" w:cs="Times New Roman" w:eastAsiaTheme="majorEastAsia"/>
                <w:color w:val="000000" w:themeColor="text1"/>
                <w:sz w:val="24"/>
                <w:szCs w:val="20"/>
                <w14:textFill>
                  <w14:solidFill>
                    <w14:schemeClr w14:val="tx1"/>
                  </w14:solidFill>
                </w14:textFill>
              </w:rPr>
            </w:pPr>
            <w:r>
              <w:rPr>
                <w:rFonts w:ascii="Times New Roman" w:hAnsi="Times New Roman" w:cs="Times New Roman" w:eastAsiaTheme="majorEastAsia"/>
                <w:color w:val="000000" w:themeColor="text1"/>
                <w:sz w:val="24"/>
                <w:szCs w:val="20"/>
                <w14:textFill>
                  <w14:solidFill>
                    <w14:schemeClr w14:val="tx1"/>
                  </w14:solidFill>
                </w14:textFill>
              </w:rPr>
              <w:t>预期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74" w:type="dxa"/>
            <w:vMerge w:val="restart"/>
            <w:vAlign w:val="center"/>
          </w:tcPr>
          <w:p>
            <w:pPr>
              <w:spacing w:line="340" w:lineRule="exact"/>
              <w:ind w:firstLine="0" w:firstLineChars="0"/>
              <w:jc w:val="center"/>
              <w:rPr>
                <w:rFonts w:ascii="Times New Roman" w:hAnsi="Times New Roman" w:cs="Times New Roman" w:eastAsiaTheme="majorEastAsia"/>
                <w:color w:val="000000" w:themeColor="text1"/>
                <w:sz w:val="24"/>
                <w:szCs w:val="20"/>
                <w14:textFill>
                  <w14:solidFill>
                    <w14:schemeClr w14:val="tx1"/>
                  </w14:solidFill>
                </w14:textFill>
              </w:rPr>
            </w:pPr>
            <w:r>
              <w:rPr>
                <w:rFonts w:ascii="Times New Roman" w:hAnsi="Times New Roman" w:cs="Times New Roman" w:eastAsiaTheme="majorEastAsia"/>
                <w:color w:val="000000" w:themeColor="text1"/>
                <w:sz w:val="24"/>
                <w:szCs w:val="20"/>
                <w14:textFill>
                  <w14:solidFill>
                    <w14:schemeClr w14:val="tx1"/>
                  </w14:solidFill>
                </w14:textFill>
              </w:rPr>
              <w:t>资源</w:t>
            </w:r>
          </w:p>
          <w:p>
            <w:pPr>
              <w:spacing w:line="340" w:lineRule="exact"/>
              <w:ind w:firstLine="0" w:firstLineChars="0"/>
              <w:jc w:val="center"/>
              <w:rPr>
                <w:rFonts w:ascii="Times New Roman" w:hAnsi="Times New Roman" w:cs="Times New Roman" w:eastAsiaTheme="majorEastAsia"/>
                <w:color w:val="000000" w:themeColor="text1"/>
                <w:sz w:val="24"/>
                <w:szCs w:val="20"/>
                <w14:textFill>
                  <w14:solidFill>
                    <w14:schemeClr w14:val="tx1"/>
                  </w14:solidFill>
                </w14:textFill>
              </w:rPr>
            </w:pPr>
            <w:r>
              <w:rPr>
                <w:rFonts w:ascii="Times New Roman" w:hAnsi="Times New Roman" w:cs="Times New Roman" w:eastAsiaTheme="majorEastAsia"/>
                <w:color w:val="000000" w:themeColor="text1"/>
                <w:sz w:val="24"/>
                <w:szCs w:val="20"/>
                <w14:textFill>
                  <w14:solidFill>
                    <w14:schemeClr w14:val="tx1"/>
                  </w14:solidFill>
                </w14:textFill>
              </w:rPr>
              <w:t>配置</w:t>
            </w:r>
          </w:p>
        </w:tc>
        <w:tc>
          <w:tcPr>
            <w:tcW w:w="582" w:type="dxa"/>
            <w:vAlign w:val="center"/>
          </w:tcPr>
          <w:p>
            <w:pPr>
              <w:spacing w:line="340" w:lineRule="exact"/>
              <w:ind w:firstLine="0" w:firstLineChars="0"/>
              <w:rPr>
                <w:rFonts w:ascii="Times New Roman" w:hAnsi="Times New Roman" w:cs="Times New Roman" w:eastAsiaTheme="majorEastAsia"/>
                <w:color w:val="000000" w:themeColor="text1"/>
                <w:sz w:val="24"/>
                <w:szCs w:val="20"/>
                <w14:textFill>
                  <w14:solidFill>
                    <w14:schemeClr w14:val="tx1"/>
                  </w14:solidFill>
                </w14:textFill>
              </w:rPr>
            </w:pPr>
            <w:r>
              <w:rPr>
                <w:rFonts w:ascii="Times New Roman" w:hAnsi="Times New Roman" w:cs="Times New Roman" w:eastAsiaTheme="majorEastAsia"/>
                <w:color w:val="000000" w:themeColor="text1"/>
                <w:sz w:val="24"/>
                <w:szCs w:val="20"/>
                <w14:textFill>
                  <w14:solidFill>
                    <w14:schemeClr w14:val="tx1"/>
                  </w14:solidFill>
                </w14:textFill>
              </w:rPr>
              <w:t>16</w:t>
            </w:r>
          </w:p>
        </w:tc>
        <w:tc>
          <w:tcPr>
            <w:tcW w:w="4222" w:type="dxa"/>
            <w:vAlign w:val="center"/>
          </w:tcPr>
          <w:p>
            <w:pPr>
              <w:spacing w:line="340" w:lineRule="exact"/>
              <w:ind w:firstLine="0" w:firstLineChars="0"/>
              <w:rPr>
                <w:rFonts w:ascii="Times New Roman" w:hAnsi="Times New Roman" w:cs="Times New Roman" w:eastAsiaTheme="majorEastAsia"/>
                <w:color w:val="000000" w:themeColor="text1"/>
                <w:sz w:val="24"/>
                <w:szCs w:val="20"/>
                <w14:textFill>
                  <w14:solidFill>
                    <w14:schemeClr w14:val="tx1"/>
                  </w14:solidFill>
                </w14:textFill>
              </w:rPr>
            </w:pPr>
            <w:r>
              <w:rPr>
                <w:rFonts w:ascii="Times New Roman" w:hAnsi="Times New Roman" w:cs="Times New Roman" w:eastAsiaTheme="majorEastAsia"/>
                <w:color w:val="000000" w:themeColor="text1"/>
                <w:sz w:val="24"/>
                <w:szCs w:val="20"/>
                <w14:textFill>
                  <w14:solidFill>
                    <w14:schemeClr w14:val="tx1"/>
                  </w14:solidFill>
                </w14:textFill>
              </w:rPr>
              <w:t>每千人医疗卫生机构床位数（张）</w:t>
            </w:r>
          </w:p>
        </w:tc>
        <w:tc>
          <w:tcPr>
            <w:tcW w:w="1165" w:type="dxa"/>
            <w:vAlign w:val="center"/>
          </w:tcPr>
          <w:p>
            <w:pPr>
              <w:spacing w:line="340" w:lineRule="exact"/>
              <w:ind w:firstLine="0" w:firstLineChars="0"/>
              <w:rPr>
                <w:rFonts w:ascii="Times New Roman" w:hAnsi="Times New Roman" w:cs="Times New Roman" w:eastAsiaTheme="majorEastAsia"/>
                <w:color w:val="000000" w:themeColor="text1"/>
                <w:sz w:val="24"/>
                <w:szCs w:val="20"/>
                <w14:textFill>
                  <w14:solidFill>
                    <w14:schemeClr w14:val="tx1"/>
                  </w14:solidFill>
                </w14:textFill>
              </w:rPr>
            </w:pPr>
            <w:r>
              <w:rPr>
                <w:rFonts w:ascii="Times New Roman" w:hAnsi="Times New Roman" w:cs="Times New Roman" w:eastAsiaTheme="majorEastAsia"/>
                <w:color w:val="000000" w:themeColor="text1"/>
                <w:sz w:val="24"/>
                <w:szCs w:val="20"/>
                <w14:textFill>
                  <w14:solidFill>
                    <w14:schemeClr w14:val="tx1"/>
                  </w14:solidFill>
                </w14:textFill>
              </w:rPr>
              <w:t>7.33</w:t>
            </w:r>
          </w:p>
        </w:tc>
        <w:tc>
          <w:tcPr>
            <w:tcW w:w="1569" w:type="dxa"/>
            <w:vAlign w:val="center"/>
          </w:tcPr>
          <w:p>
            <w:pPr>
              <w:spacing w:line="340" w:lineRule="exact"/>
              <w:ind w:firstLine="0" w:firstLineChars="0"/>
              <w:rPr>
                <w:rFonts w:ascii="Times New Roman" w:hAnsi="Times New Roman" w:cs="Times New Roman" w:eastAsiaTheme="majorEastAsia"/>
                <w:color w:val="000000" w:themeColor="text1"/>
                <w:sz w:val="24"/>
                <w:szCs w:val="20"/>
                <w14:textFill>
                  <w14:solidFill>
                    <w14:schemeClr w14:val="tx1"/>
                  </w14:solidFill>
                </w14:textFill>
              </w:rPr>
            </w:pPr>
            <w:r>
              <w:rPr>
                <w:rFonts w:ascii="Times New Roman" w:hAnsi="Times New Roman" w:cs="Times New Roman" w:eastAsiaTheme="majorEastAsia"/>
                <w:color w:val="000000" w:themeColor="text1"/>
                <w:sz w:val="24"/>
                <w:szCs w:val="20"/>
                <w14:textFill>
                  <w14:solidFill>
                    <w14:schemeClr w14:val="tx1"/>
                  </w14:solidFill>
                </w14:textFill>
              </w:rPr>
              <w:t>7.5</w:t>
            </w:r>
          </w:p>
        </w:tc>
        <w:tc>
          <w:tcPr>
            <w:tcW w:w="796" w:type="dxa"/>
            <w:vAlign w:val="center"/>
          </w:tcPr>
          <w:p>
            <w:pPr>
              <w:spacing w:line="340" w:lineRule="exact"/>
              <w:ind w:firstLine="0" w:firstLineChars="0"/>
              <w:rPr>
                <w:rFonts w:ascii="Times New Roman" w:hAnsi="Times New Roman" w:cs="Times New Roman" w:eastAsiaTheme="majorEastAsia"/>
                <w:color w:val="000000" w:themeColor="text1"/>
                <w:sz w:val="24"/>
                <w:szCs w:val="20"/>
                <w14:textFill>
                  <w14:solidFill>
                    <w14:schemeClr w14:val="tx1"/>
                  </w14:solidFill>
                </w14:textFill>
              </w:rPr>
            </w:pPr>
            <w:r>
              <w:rPr>
                <w:rFonts w:ascii="Times New Roman" w:hAnsi="Times New Roman" w:cs="Times New Roman" w:eastAsiaTheme="majorEastAsia"/>
                <w:color w:val="000000" w:themeColor="text1"/>
                <w:sz w:val="24"/>
                <w:szCs w:val="20"/>
                <w14:textFill>
                  <w14:solidFill>
                    <w14:schemeClr w14:val="tx1"/>
                  </w14:solidFill>
                </w14:textFill>
              </w:rPr>
              <w:t>预期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74" w:type="dxa"/>
            <w:vMerge w:val="continue"/>
            <w:vAlign w:val="center"/>
          </w:tcPr>
          <w:p>
            <w:pPr>
              <w:spacing w:line="340" w:lineRule="exact"/>
              <w:ind w:firstLine="0" w:firstLineChars="0"/>
              <w:jc w:val="center"/>
              <w:rPr>
                <w:rFonts w:ascii="Times New Roman" w:hAnsi="Times New Roman" w:cs="Times New Roman" w:eastAsiaTheme="majorEastAsia"/>
                <w:color w:val="000000" w:themeColor="text1"/>
                <w:sz w:val="24"/>
                <w:szCs w:val="20"/>
                <w14:textFill>
                  <w14:solidFill>
                    <w14:schemeClr w14:val="tx1"/>
                  </w14:solidFill>
                </w14:textFill>
              </w:rPr>
            </w:pPr>
          </w:p>
        </w:tc>
        <w:tc>
          <w:tcPr>
            <w:tcW w:w="582" w:type="dxa"/>
            <w:vAlign w:val="center"/>
          </w:tcPr>
          <w:p>
            <w:pPr>
              <w:spacing w:line="340" w:lineRule="exact"/>
              <w:ind w:firstLine="0" w:firstLineChars="0"/>
              <w:rPr>
                <w:rFonts w:ascii="Times New Roman" w:hAnsi="Times New Roman" w:cs="Times New Roman" w:eastAsiaTheme="majorEastAsia"/>
                <w:color w:val="000000" w:themeColor="text1"/>
                <w:sz w:val="24"/>
                <w:szCs w:val="20"/>
                <w14:textFill>
                  <w14:solidFill>
                    <w14:schemeClr w14:val="tx1"/>
                  </w14:solidFill>
                </w14:textFill>
              </w:rPr>
            </w:pPr>
            <w:r>
              <w:rPr>
                <w:rFonts w:ascii="Times New Roman" w:hAnsi="Times New Roman" w:cs="Times New Roman" w:eastAsiaTheme="majorEastAsia"/>
                <w:color w:val="000000" w:themeColor="text1"/>
                <w:sz w:val="24"/>
                <w:szCs w:val="20"/>
                <w14:textFill>
                  <w14:solidFill>
                    <w14:schemeClr w14:val="tx1"/>
                  </w14:solidFill>
                </w14:textFill>
              </w:rPr>
              <w:t>17</w:t>
            </w:r>
          </w:p>
        </w:tc>
        <w:tc>
          <w:tcPr>
            <w:tcW w:w="4222" w:type="dxa"/>
            <w:vAlign w:val="center"/>
          </w:tcPr>
          <w:p>
            <w:pPr>
              <w:spacing w:line="340" w:lineRule="exact"/>
              <w:ind w:firstLine="0" w:firstLineChars="0"/>
              <w:rPr>
                <w:rFonts w:ascii="Times New Roman" w:hAnsi="Times New Roman" w:cs="Times New Roman" w:eastAsiaTheme="majorEastAsia"/>
                <w:color w:val="000000" w:themeColor="text1"/>
                <w:sz w:val="24"/>
                <w:szCs w:val="20"/>
                <w14:textFill>
                  <w14:solidFill>
                    <w14:schemeClr w14:val="tx1"/>
                  </w14:solidFill>
                </w14:textFill>
              </w:rPr>
            </w:pPr>
            <w:r>
              <w:rPr>
                <w:rFonts w:ascii="Times New Roman" w:hAnsi="Times New Roman" w:cs="Times New Roman" w:eastAsiaTheme="majorEastAsia"/>
                <w:color w:val="000000" w:themeColor="text1"/>
                <w:sz w:val="24"/>
                <w:szCs w:val="20"/>
                <w14:textFill>
                  <w14:solidFill>
                    <w14:schemeClr w14:val="tx1"/>
                  </w14:solidFill>
                </w14:textFill>
              </w:rPr>
              <w:t>每千人执业（助理）医师数（人）</w:t>
            </w:r>
          </w:p>
        </w:tc>
        <w:tc>
          <w:tcPr>
            <w:tcW w:w="1165" w:type="dxa"/>
            <w:vAlign w:val="center"/>
          </w:tcPr>
          <w:p>
            <w:pPr>
              <w:spacing w:line="340" w:lineRule="exact"/>
              <w:ind w:firstLine="0" w:firstLineChars="0"/>
              <w:rPr>
                <w:rFonts w:ascii="Times New Roman" w:hAnsi="Times New Roman" w:cs="Times New Roman" w:eastAsiaTheme="majorEastAsia"/>
                <w:color w:val="000000" w:themeColor="text1"/>
                <w:sz w:val="24"/>
                <w:szCs w:val="20"/>
                <w14:textFill>
                  <w14:solidFill>
                    <w14:schemeClr w14:val="tx1"/>
                  </w14:solidFill>
                </w14:textFill>
              </w:rPr>
            </w:pPr>
            <w:r>
              <w:rPr>
                <w:rFonts w:ascii="Times New Roman" w:hAnsi="Times New Roman" w:cs="Times New Roman" w:eastAsiaTheme="majorEastAsia"/>
                <w:color w:val="000000" w:themeColor="text1"/>
                <w:sz w:val="24"/>
                <w:szCs w:val="20"/>
                <w14:textFill>
                  <w14:solidFill>
                    <w14:schemeClr w14:val="tx1"/>
                  </w14:solidFill>
                </w14:textFill>
              </w:rPr>
              <w:t>3.46</w:t>
            </w:r>
          </w:p>
        </w:tc>
        <w:tc>
          <w:tcPr>
            <w:tcW w:w="1569" w:type="dxa"/>
            <w:vAlign w:val="center"/>
          </w:tcPr>
          <w:p>
            <w:pPr>
              <w:spacing w:line="340" w:lineRule="exact"/>
              <w:ind w:firstLine="0" w:firstLineChars="0"/>
              <w:rPr>
                <w:rFonts w:ascii="Times New Roman" w:hAnsi="Times New Roman" w:cs="Times New Roman" w:eastAsiaTheme="majorEastAsia"/>
                <w:color w:val="000000" w:themeColor="text1"/>
                <w:sz w:val="24"/>
                <w:szCs w:val="20"/>
                <w14:textFill>
                  <w14:solidFill>
                    <w14:schemeClr w14:val="tx1"/>
                  </w14:solidFill>
                </w14:textFill>
              </w:rPr>
            </w:pPr>
            <w:r>
              <w:rPr>
                <w:rFonts w:ascii="Times New Roman" w:hAnsi="Times New Roman" w:cs="Times New Roman" w:eastAsiaTheme="majorEastAsia"/>
                <w:color w:val="000000" w:themeColor="text1"/>
                <w:sz w:val="24"/>
                <w:szCs w:val="20"/>
                <w14:textFill>
                  <w14:solidFill>
                    <w14:schemeClr w14:val="tx1"/>
                  </w14:solidFill>
                </w14:textFill>
              </w:rPr>
              <w:t>3.6</w:t>
            </w:r>
          </w:p>
        </w:tc>
        <w:tc>
          <w:tcPr>
            <w:tcW w:w="796" w:type="dxa"/>
            <w:vAlign w:val="center"/>
          </w:tcPr>
          <w:p>
            <w:pPr>
              <w:spacing w:line="340" w:lineRule="exact"/>
              <w:ind w:firstLine="0" w:firstLineChars="0"/>
              <w:rPr>
                <w:rFonts w:ascii="Times New Roman" w:hAnsi="Times New Roman" w:cs="Times New Roman" w:eastAsiaTheme="majorEastAsia"/>
                <w:color w:val="000000" w:themeColor="text1"/>
                <w:sz w:val="24"/>
                <w:szCs w:val="20"/>
                <w14:textFill>
                  <w14:solidFill>
                    <w14:schemeClr w14:val="tx1"/>
                  </w14:solidFill>
                </w14:textFill>
              </w:rPr>
            </w:pPr>
            <w:r>
              <w:rPr>
                <w:rFonts w:ascii="Times New Roman" w:hAnsi="Times New Roman" w:cs="Times New Roman" w:eastAsiaTheme="majorEastAsia"/>
                <w:color w:val="000000" w:themeColor="text1"/>
                <w:sz w:val="24"/>
                <w:szCs w:val="20"/>
                <w14:textFill>
                  <w14:solidFill>
                    <w14:schemeClr w14:val="tx1"/>
                  </w14:solidFill>
                </w14:textFill>
              </w:rPr>
              <w:t>预期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74" w:type="dxa"/>
            <w:vMerge w:val="continue"/>
            <w:vAlign w:val="center"/>
          </w:tcPr>
          <w:p>
            <w:pPr>
              <w:spacing w:line="340" w:lineRule="exact"/>
              <w:ind w:firstLine="0" w:firstLineChars="0"/>
              <w:jc w:val="center"/>
              <w:rPr>
                <w:rFonts w:ascii="Times New Roman" w:hAnsi="Times New Roman" w:cs="Times New Roman" w:eastAsiaTheme="majorEastAsia"/>
                <w:color w:val="000000" w:themeColor="text1"/>
                <w:sz w:val="24"/>
                <w:szCs w:val="20"/>
                <w14:textFill>
                  <w14:solidFill>
                    <w14:schemeClr w14:val="tx1"/>
                  </w14:solidFill>
                </w14:textFill>
              </w:rPr>
            </w:pPr>
          </w:p>
        </w:tc>
        <w:tc>
          <w:tcPr>
            <w:tcW w:w="582" w:type="dxa"/>
            <w:vAlign w:val="center"/>
          </w:tcPr>
          <w:p>
            <w:pPr>
              <w:spacing w:line="340" w:lineRule="exact"/>
              <w:ind w:firstLine="0" w:firstLineChars="0"/>
              <w:rPr>
                <w:rFonts w:ascii="Times New Roman" w:hAnsi="Times New Roman" w:cs="Times New Roman" w:eastAsiaTheme="majorEastAsia"/>
                <w:color w:val="000000" w:themeColor="text1"/>
                <w:sz w:val="24"/>
                <w:szCs w:val="20"/>
                <w14:textFill>
                  <w14:solidFill>
                    <w14:schemeClr w14:val="tx1"/>
                  </w14:solidFill>
                </w14:textFill>
              </w:rPr>
            </w:pPr>
            <w:r>
              <w:rPr>
                <w:rFonts w:ascii="Times New Roman" w:hAnsi="Times New Roman" w:cs="Times New Roman" w:eastAsiaTheme="majorEastAsia"/>
                <w:color w:val="000000" w:themeColor="text1"/>
                <w:sz w:val="24"/>
                <w:szCs w:val="20"/>
                <w14:textFill>
                  <w14:solidFill>
                    <w14:schemeClr w14:val="tx1"/>
                  </w14:solidFill>
                </w14:textFill>
              </w:rPr>
              <w:t>18</w:t>
            </w:r>
          </w:p>
        </w:tc>
        <w:tc>
          <w:tcPr>
            <w:tcW w:w="4222" w:type="dxa"/>
            <w:vAlign w:val="center"/>
          </w:tcPr>
          <w:p>
            <w:pPr>
              <w:spacing w:line="340" w:lineRule="exact"/>
              <w:ind w:firstLine="0" w:firstLineChars="0"/>
              <w:rPr>
                <w:rFonts w:ascii="Times New Roman" w:hAnsi="Times New Roman" w:cs="Times New Roman" w:eastAsiaTheme="majorEastAsia"/>
                <w:color w:val="000000" w:themeColor="text1"/>
                <w:sz w:val="24"/>
                <w:szCs w:val="20"/>
                <w14:textFill>
                  <w14:solidFill>
                    <w14:schemeClr w14:val="tx1"/>
                  </w14:solidFill>
                </w14:textFill>
              </w:rPr>
            </w:pPr>
            <w:r>
              <w:rPr>
                <w:rFonts w:ascii="Times New Roman" w:hAnsi="Times New Roman" w:cs="Times New Roman" w:eastAsiaTheme="majorEastAsia"/>
                <w:color w:val="000000" w:themeColor="text1"/>
                <w:sz w:val="24"/>
                <w:szCs w:val="20"/>
                <w14:textFill>
                  <w14:solidFill>
                    <w14:schemeClr w14:val="tx1"/>
                  </w14:solidFill>
                </w14:textFill>
              </w:rPr>
              <w:t>每千人注册护士数（人）</w:t>
            </w:r>
          </w:p>
        </w:tc>
        <w:tc>
          <w:tcPr>
            <w:tcW w:w="1165" w:type="dxa"/>
            <w:vAlign w:val="center"/>
          </w:tcPr>
          <w:p>
            <w:pPr>
              <w:spacing w:line="340" w:lineRule="exact"/>
              <w:ind w:firstLine="0" w:firstLineChars="0"/>
              <w:rPr>
                <w:rFonts w:ascii="Times New Roman" w:hAnsi="Times New Roman" w:cs="Times New Roman" w:eastAsiaTheme="majorEastAsia"/>
                <w:color w:val="000000" w:themeColor="text1"/>
                <w:sz w:val="24"/>
                <w:szCs w:val="20"/>
                <w14:textFill>
                  <w14:solidFill>
                    <w14:schemeClr w14:val="tx1"/>
                  </w14:solidFill>
                </w14:textFill>
              </w:rPr>
            </w:pPr>
            <w:r>
              <w:rPr>
                <w:rFonts w:ascii="Times New Roman" w:hAnsi="Times New Roman" w:cs="Times New Roman" w:eastAsiaTheme="majorEastAsia"/>
                <w:color w:val="000000" w:themeColor="text1"/>
                <w:sz w:val="24"/>
                <w:szCs w:val="20"/>
                <w14:textFill>
                  <w14:solidFill>
                    <w14:schemeClr w14:val="tx1"/>
                  </w14:solidFill>
                </w14:textFill>
              </w:rPr>
              <w:t>3.5</w:t>
            </w:r>
          </w:p>
        </w:tc>
        <w:tc>
          <w:tcPr>
            <w:tcW w:w="1569" w:type="dxa"/>
            <w:vAlign w:val="center"/>
          </w:tcPr>
          <w:p>
            <w:pPr>
              <w:spacing w:line="340" w:lineRule="exact"/>
              <w:ind w:firstLine="0" w:firstLineChars="0"/>
              <w:rPr>
                <w:rFonts w:ascii="Times New Roman" w:hAnsi="Times New Roman" w:cs="Times New Roman" w:eastAsiaTheme="majorEastAsia"/>
                <w:color w:val="000000" w:themeColor="text1"/>
                <w:sz w:val="24"/>
                <w:szCs w:val="20"/>
                <w14:textFill>
                  <w14:solidFill>
                    <w14:schemeClr w14:val="tx1"/>
                  </w14:solidFill>
                </w14:textFill>
              </w:rPr>
            </w:pPr>
            <w:r>
              <w:rPr>
                <w:rFonts w:ascii="Times New Roman" w:hAnsi="Times New Roman" w:cs="Times New Roman" w:eastAsiaTheme="majorEastAsia"/>
                <w:color w:val="000000" w:themeColor="text1"/>
                <w:sz w:val="24"/>
                <w:szCs w:val="20"/>
                <w14:textFill>
                  <w14:solidFill>
                    <w14:schemeClr w14:val="tx1"/>
                  </w14:solidFill>
                </w14:textFill>
              </w:rPr>
              <w:t>4.12</w:t>
            </w:r>
          </w:p>
        </w:tc>
        <w:tc>
          <w:tcPr>
            <w:tcW w:w="796" w:type="dxa"/>
            <w:vAlign w:val="center"/>
          </w:tcPr>
          <w:p>
            <w:pPr>
              <w:spacing w:line="340" w:lineRule="exact"/>
              <w:ind w:firstLine="0" w:firstLineChars="0"/>
              <w:rPr>
                <w:rFonts w:ascii="Times New Roman" w:hAnsi="Times New Roman" w:cs="Times New Roman" w:eastAsiaTheme="majorEastAsia"/>
                <w:color w:val="000000" w:themeColor="text1"/>
                <w:sz w:val="24"/>
                <w:szCs w:val="20"/>
                <w14:textFill>
                  <w14:solidFill>
                    <w14:schemeClr w14:val="tx1"/>
                  </w14:solidFill>
                </w14:textFill>
              </w:rPr>
            </w:pPr>
            <w:r>
              <w:rPr>
                <w:rFonts w:ascii="Times New Roman" w:hAnsi="Times New Roman" w:cs="Times New Roman" w:eastAsiaTheme="majorEastAsia"/>
                <w:color w:val="000000" w:themeColor="text1"/>
                <w:sz w:val="24"/>
                <w:szCs w:val="20"/>
                <w14:textFill>
                  <w14:solidFill>
                    <w14:schemeClr w14:val="tx1"/>
                  </w14:solidFill>
                </w14:textFill>
              </w:rPr>
              <w:t>预期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74" w:type="dxa"/>
            <w:vMerge w:val="continue"/>
            <w:vAlign w:val="center"/>
          </w:tcPr>
          <w:p>
            <w:pPr>
              <w:spacing w:line="340" w:lineRule="exact"/>
              <w:ind w:firstLine="0" w:firstLineChars="0"/>
              <w:jc w:val="center"/>
              <w:rPr>
                <w:rFonts w:ascii="Times New Roman" w:hAnsi="Times New Roman" w:cs="Times New Roman" w:eastAsiaTheme="majorEastAsia"/>
                <w:color w:val="000000" w:themeColor="text1"/>
                <w:sz w:val="24"/>
                <w:szCs w:val="20"/>
                <w14:textFill>
                  <w14:solidFill>
                    <w14:schemeClr w14:val="tx1"/>
                  </w14:solidFill>
                </w14:textFill>
              </w:rPr>
            </w:pPr>
          </w:p>
        </w:tc>
        <w:tc>
          <w:tcPr>
            <w:tcW w:w="582" w:type="dxa"/>
            <w:vAlign w:val="center"/>
          </w:tcPr>
          <w:p>
            <w:pPr>
              <w:spacing w:line="340" w:lineRule="exact"/>
              <w:ind w:firstLine="0" w:firstLineChars="0"/>
              <w:rPr>
                <w:rFonts w:ascii="Times New Roman" w:hAnsi="Times New Roman" w:cs="Times New Roman" w:eastAsiaTheme="majorEastAsia"/>
                <w:color w:val="000000" w:themeColor="text1"/>
                <w:sz w:val="24"/>
                <w:szCs w:val="20"/>
                <w14:textFill>
                  <w14:solidFill>
                    <w14:schemeClr w14:val="tx1"/>
                  </w14:solidFill>
                </w14:textFill>
              </w:rPr>
            </w:pPr>
            <w:r>
              <w:rPr>
                <w:rFonts w:ascii="Times New Roman" w:hAnsi="Times New Roman" w:cs="Times New Roman" w:eastAsiaTheme="majorEastAsia"/>
                <w:color w:val="000000" w:themeColor="text1"/>
                <w:sz w:val="24"/>
                <w:szCs w:val="20"/>
                <w14:textFill>
                  <w14:solidFill>
                    <w14:schemeClr w14:val="tx1"/>
                  </w14:solidFill>
                </w14:textFill>
              </w:rPr>
              <w:t>19</w:t>
            </w:r>
          </w:p>
        </w:tc>
        <w:tc>
          <w:tcPr>
            <w:tcW w:w="4222" w:type="dxa"/>
            <w:vAlign w:val="center"/>
          </w:tcPr>
          <w:p>
            <w:pPr>
              <w:spacing w:line="340" w:lineRule="exact"/>
              <w:ind w:firstLine="0" w:firstLineChars="0"/>
              <w:rPr>
                <w:rFonts w:ascii="Times New Roman" w:hAnsi="Times New Roman" w:cs="Times New Roman" w:eastAsiaTheme="majorEastAsia"/>
                <w:color w:val="000000" w:themeColor="text1"/>
                <w:sz w:val="24"/>
                <w:szCs w:val="20"/>
                <w14:textFill>
                  <w14:solidFill>
                    <w14:schemeClr w14:val="tx1"/>
                  </w14:solidFill>
                </w14:textFill>
              </w:rPr>
            </w:pPr>
            <w:r>
              <w:rPr>
                <w:rFonts w:ascii="Times New Roman" w:hAnsi="Times New Roman" w:cs="Times New Roman" w:eastAsiaTheme="majorEastAsia"/>
                <w:color w:val="000000" w:themeColor="text1"/>
                <w:sz w:val="24"/>
                <w:szCs w:val="20"/>
                <w14:textFill>
                  <w14:solidFill>
                    <w14:schemeClr w14:val="tx1"/>
                  </w14:solidFill>
                </w14:textFill>
              </w:rPr>
              <w:t>每万人全科医生数（人）</w:t>
            </w:r>
          </w:p>
        </w:tc>
        <w:tc>
          <w:tcPr>
            <w:tcW w:w="1165" w:type="dxa"/>
            <w:vAlign w:val="center"/>
          </w:tcPr>
          <w:p>
            <w:pPr>
              <w:spacing w:line="340" w:lineRule="exact"/>
              <w:ind w:firstLine="0" w:firstLineChars="0"/>
              <w:rPr>
                <w:rFonts w:ascii="Times New Roman" w:hAnsi="Times New Roman" w:cs="Times New Roman" w:eastAsiaTheme="majorEastAsia"/>
                <w:color w:val="000000" w:themeColor="text1"/>
                <w:sz w:val="24"/>
                <w:szCs w:val="20"/>
                <w14:textFill>
                  <w14:solidFill>
                    <w14:schemeClr w14:val="tx1"/>
                  </w14:solidFill>
                </w14:textFill>
              </w:rPr>
            </w:pPr>
            <w:r>
              <w:rPr>
                <w:rFonts w:ascii="Times New Roman" w:hAnsi="Times New Roman" w:cs="Times New Roman" w:eastAsiaTheme="majorEastAsia"/>
                <w:color w:val="000000" w:themeColor="text1"/>
                <w:sz w:val="24"/>
                <w:szCs w:val="20"/>
                <w14:textFill>
                  <w14:solidFill>
                    <w14:schemeClr w14:val="tx1"/>
                  </w14:solidFill>
                </w14:textFill>
              </w:rPr>
              <w:t>3</w:t>
            </w:r>
          </w:p>
        </w:tc>
        <w:tc>
          <w:tcPr>
            <w:tcW w:w="1569" w:type="dxa"/>
            <w:vAlign w:val="center"/>
          </w:tcPr>
          <w:p>
            <w:pPr>
              <w:spacing w:line="340" w:lineRule="exact"/>
              <w:ind w:firstLine="0" w:firstLineChars="0"/>
              <w:rPr>
                <w:rFonts w:ascii="Times New Roman" w:hAnsi="Times New Roman" w:cs="Times New Roman" w:eastAsiaTheme="majorEastAsia"/>
                <w:color w:val="000000" w:themeColor="text1"/>
                <w:sz w:val="24"/>
                <w:szCs w:val="20"/>
                <w14:textFill>
                  <w14:solidFill>
                    <w14:schemeClr w14:val="tx1"/>
                  </w14:solidFill>
                </w14:textFill>
              </w:rPr>
            </w:pPr>
            <w:r>
              <w:rPr>
                <w:rFonts w:ascii="Times New Roman" w:hAnsi="Times New Roman" w:cs="Times New Roman" w:eastAsiaTheme="majorEastAsia"/>
                <w:color w:val="000000" w:themeColor="text1"/>
                <w:sz w:val="24"/>
                <w:szCs w:val="20"/>
                <w14:textFill>
                  <w14:solidFill>
                    <w14:schemeClr w14:val="tx1"/>
                  </w14:solidFill>
                </w14:textFill>
              </w:rPr>
              <w:t>3.2</w:t>
            </w:r>
          </w:p>
        </w:tc>
        <w:tc>
          <w:tcPr>
            <w:tcW w:w="796" w:type="dxa"/>
            <w:vAlign w:val="center"/>
          </w:tcPr>
          <w:p>
            <w:pPr>
              <w:spacing w:line="340" w:lineRule="exact"/>
              <w:ind w:firstLine="0" w:firstLineChars="0"/>
              <w:rPr>
                <w:rFonts w:ascii="Times New Roman" w:hAnsi="Times New Roman" w:cs="Times New Roman" w:eastAsiaTheme="majorEastAsia"/>
                <w:color w:val="000000" w:themeColor="text1"/>
                <w:sz w:val="24"/>
                <w:szCs w:val="20"/>
                <w14:textFill>
                  <w14:solidFill>
                    <w14:schemeClr w14:val="tx1"/>
                  </w14:solidFill>
                </w14:textFill>
              </w:rPr>
            </w:pPr>
            <w:r>
              <w:rPr>
                <w:rFonts w:ascii="Times New Roman" w:hAnsi="Times New Roman" w:cs="Times New Roman" w:eastAsiaTheme="majorEastAsia"/>
                <w:color w:val="000000" w:themeColor="text1"/>
                <w:sz w:val="24"/>
                <w:szCs w:val="20"/>
                <w14:textFill>
                  <w14:solidFill>
                    <w14:schemeClr w14:val="tx1"/>
                  </w14:solidFill>
                </w14:textFill>
              </w:rPr>
              <w:t>预期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74" w:type="dxa"/>
            <w:vMerge w:val="continue"/>
            <w:vAlign w:val="center"/>
          </w:tcPr>
          <w:p>
            <w:pPr>
              <w:spacing w:line="340" w:lineRule="exact"/>
              <w:ind w:firstLine="0" w:firstLineChars="0"/>
              <w:jc w:val="center"/>
              <w:rPr>
                <w:rFonts w:ascii="Times New Roman" w:hAnsi="Times New Roman" w:cs="Times New Roman" w:eastAsiaTheme="majorEastAsia"/>
                <w:color w:val="000000" w:themeColor="text1"/>
                <w:sz w:val="24"/>
                <w:szCs w:val="20"/>
                <w14:textFill>
                  <w14:solidFill>
                    <w14:schemeClr w14:val="tx1"/>
                  </w14:solidFill>
                </w14:textFill>
              </w:rPr>
            </w:pPr>
          </w:p>
        </w:tc>
        <w:tc>
          <w:tcPr>
            <w:tcW w:w="582" w:type="dxa"/>
            <w:vAlign w:val="center"/>
          </w:tcPr>
          <w:p>
            <w:pPr>
              <w:spacing w:line="340" w:lineRule="exact"/>
              <w:ind w:firstLine="0" w:firstLineChars="0"/>
              <w:rPr>
                <w:rFonts w:ascii="Times New Roman" w:hAnsi="Times New Roman" w:cs="Times New Roman" w:eastAsiaTheme="majorEastAsia"/>
                <w:color w:val="000000" w:themeColor="text1"/>
                <w:sz w:val="24"/>
                <w:szCs w:val="20"/>
                <w14:textFill>
                  <w14:solidFill>
                    <w14:schemeClr w14:val="tx1"/>
                  </w14:solidFill>
                </w14:textFill>
              </w:rPr>
            </w:pPr>
            <w:r>
              <w:rPr>
                <w:rFonts w:ascii="Times New Roman" w:hAnsi="Times New Roman" w:cs="Times New Roman" w:eastAsiaTheme="majorEastAsia"/>
                <w:color w:val="000000" w:themeColor="text1"/>
                <w:sz w:val="24"/>
                <w:szCs w:val="20"/>
                <w14:textFill>
                  <w14:solidFill>
                    <w14:schemeClr w14:val="tx1"/>
                  </w14:solidFill>
                </w14:textFill>
              </w:rPr>
              <w:t>20</w:t>
            </w:r>
          </w:p>
        </w:tc>
        <w:tc>
          <w:tcPr>
            <w:tcW w:w="4222" w:type="dxa"/>
            <w:vAlign w:val="center"/>
          </w:tcPr>
          <w:p>
            <w:pPr>
              <w:spacing w:line="340" w:lineRule="exact"/>
              <w:ind w:firstLine="0" w:firstLineChars="0"/>
              <w:rPr>
                <w:rFonts w:ascii="Times New Roman" w:hAnsi="Times New Roman" w:cs="Times New Roman" w:eastAsiaTheme="majorEastAsia"/>
                <w:color w:val="000000" w:themeColor="text1"/>
                <w:sz w:val="24"/>
                <w:szCs w:val="20"/>
                <w14:textFill>
                  <w14:solidFill>
                    <w14:schemeClr w14:val="tx1"/>
                  </w14:solidFill>
                </w14:textFill>
              </w:rPr>
            </w:pPr>
            <w:r>
              <w:rPr>
                <w:rFonts w:ascii="Times New Roman" w:hAnsi="Times New Roman" w:cs="Times New Roman" w:eastAsiaTheme="majorEastAsia"/>
                <w:color w:val="000000" w:themeColor="text1"/>
                <w:sz w:val="24"/>
                <w:szCs w:val="20"/>
                <w14:textFill>
                  <w14:solidFill>
                    <w14:schemeClr w14:val="tx1"/>
                  </w14:solidFill>
                </w14:textFill>
              </w:rPr>
              <w:t>每万人公共卫生人员数（人）</w:t>
            </w:r>
          </w:p>
        </w:tc>
        <w:tc>
          <w:tcPr>
            <w:tcW w:w="1165" w:type="dxa"/>
            <w:vAlign w:val="center"/>
          </w:tcPr>
          <w:p>
            <w:pPr>
              <w:spacing w:line="340" w:lineRule="exact"/>
              <w:ind w:firstLine="0" w:firstLineChars="0"/>
              <w:rPr>
                <w:rFonts w:ascii="Times New Roman" w:hAnsi="Times New Roman" w:cs="Times New Roman" w:eastAsiaTheme="majorEastAsia"/>
                <w:color w:val="000000" w:themeColor="text1"/>
                <w:sz w:val="24"/>
                <w:szCs w:val="20"/>
                <w14:textFill>
                  <w14:solidFill>
                    <w14:schemeClr w14:val="tx1"/>
                  </w14:solidFill>
                </w14:textFill>
              </w:rPr>
            </w:pPr>
            <w:r>
              <w:rPr>
                <w:rFonts w:ascii="Times New Roman" w:hAnsi="Times New Roman" w:cs="Times New Roman" w:eastAsiaTheme="majorEastAsia"/>
                <w:color w:val="000000" w:themeColor="text1"/>
                <w:sz w:val="24"/>
                <w:szCs w:val="20"/>
                <w14:textFill>
                  <w14:solidFill>
                    <w14:schemeClr w14:val="tx1"/>
                  </w14:solidFill>
                </w14:textFill>
              </w:rPr>
              <w:t>10.46</w:t>
            </w:r>
          </w:p>
        </w:tc>
        <w:tc>
          <w:tcPr>
            <w:tcW w:w="1569" w:type="dxa"/>
            <w:vAlign w:val="center"/>
          </w:tcPr>
          <w:p>
            <w:pPr>
              <w:spacing w:line="340" w:lineRule="exact"/>
              <w:ind w:firstLine="0" w:firstLineChars="0"/>
              <w:rPr>
                <w:rFonts w:ascii="Times New Roman" w:hAnsi="Times New Roman" w:cs="Times New Roman" w:eastAsiaTheme="majorEastAsia"/>
                <w:color w:val="000000" w:themeColor="text1"/>
                <w:sz w:val="24"/>
                <w:szCs w:val="20"/>
                <w14:textFill>
                  <w14:solidFill>
                    <w14:schemeClr w14:val="tx1"/>
                  </w14:solidFill>
                </w14:textFill>
              </w:rPr>
            </w:pPr>
            <w:r>
              <w:rPr>
                <w:rFonts w:ascii="Times New Roman" w:hAnsi="Times New Roman" w:cs="Times New Roman" w:eastAsiaTheme="majorEastAsia"/>
                <w:color w:val="000000" w:themeColor="text1"/>
                <w:sz w:val="24"/>
                <w:szCs w:val="20"/>
                <w14:textFill>
                  <w14:solidFill>
                    <w14:schemeClr w14:val="tx1"/>
                  </w14:solidFill>
                </w14:textFill>
              </w:rPr>
              <w:t>2020年基础上增长30%</w:t>
            </w:r>
          </w:p>
        </w:tc>
        <w:tc>
          <w:tcPr>
            <w:tcW w:w="796" w:type="dxa"/>
            <w:vAlign w:val="center"/>
          </w:tcPr>
          <w:p>
            <w:pPr>
              <w:spacing w:line="340" w:lineRule="exact"/>
              <w:ind w:firstLine="0" w:firstLineChars="0"/>
              <w:rPr>
                <w:rFonts w:ascii="Times New Roman" w:hAnsi="Times New Roman" w:cs="Times New Roman" w:eastAsiaTheme="majorEastAsia"/>
                <w:color w:val="000000" w:themeColor="text1"/>
                <w:sz w:val="24"/>
                <w:szCs w:val="20"/>
                <w14:textFill>
                  <w14:solidFill>
                    <w14:schemeClr w14:val="tx1"/>
                  </w14:solidFill>
                </w14:textFill>
              </w:rPr>
            </w:pPr>
            <w:r>
              <w:rPr>
                <w:rFonts w:ascii="Times New Roman" w:hAnsi="Times New Roman" w:cs="Times New Roman" w:eastAsiaTheme="majorEastAsia"/>
                <w:color w:val="000000" w:themeColor="text1"/>
                <w:sz w:val="24"/>
                <w:szCs w:val="20"/>
                <w14:textFill>
                  <w14:solidFill>
                    <w14:schemeClr w14:val="tx1"/>
                  </w14:solidFill>
                </w14:textFill>
              </w:rPr>
              <w:t>约束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74" w:type="dxa"/>
            <w:vMerge w:val="continue"/>
            <w:vAlign w:val="center"/>
          </w:tcPr>
          <w:p>
            <w:pPr>
              <w:spacing w:line="340" w:lineRule="exact"/>
              <w:ind w:firstLine="0" w:firstLineChars="0"/>
              <w:jc w:val="center"/>
              <w:rPr>
                <w:rFonts w:ascii="Times New Roman" w:hAnsi="Times New Roman" w:cs="Times New Roman" w:eastAsiaTheme="majorEastAsia"/>
                <w:color w:val="000000" w:themeColor="text1"/>
                <w:sz w:val="24"/>
                <w:szCs w:val="20"/>
                <w14:textFill>
                  <w14:solidFill>
                    <w14:schemeClr w14:val="tx1"/>
                  </w14:solidFill>
                </w14:textFill>
              </w:rPr>
            </w:pPr>
          </w:p>
        </w:tc>
        <w:tc>
          <w:tcPr>
            <w:tcW w:w="582" w:type="dxa"/>
            <w:vAlign w:val="center"/>
          </w:tcPr>
          <w:p>
            <w:pPr>
              <w:spacing w:line="340" w:lineRule="exact"/>
              <w:ind w:firstLine="0" w:firstLineChars="0"/>
              <w:rPr>
                <w:rFonts w:ascii="Times New Roman" w:hAnsi="Times New Roman" w:cs="Times New Roman" w:eastAsiaTheme="majorEastAsia"/>
                <w:color w:val="000000" w:themeColor="text1"/>
                <w:sz w:val="24"/>
                <w:szCs w:val="20"/>
                <w14:textFill>
                  <w14:solidFill>
                    <w14:schemeClr w14:val="tx1"/>
                  </w14:solidFill>
                </w14:textFill>
              </w:rPr>
            </w:pPr>
            <w:r>
              <w:rPr>
                <w:rFonts w:ascii="Times New Roman" w:hAnsi="Times New Roman" w:cs="Times New Roman" w:eastAsiaTheme="majorEastAsia"/>
                <w:color w:val="000000" w:themeColor="text1"/>
                <w:sz w:val="24"/>
                <w:szCs w:val="20"/>
                <w14:textFill>
                  <w14:solidFill>
                    <w14:schemeClr w14:val="tx1"/>
                  </w14:solidFill>
                </w14:textFill>
              </w:rPr>
              <w:t>21</w:t>
            </w:r>
          </w:p>
        </w:tc>
        <w:tc>
          <w:tcPr>
            <w:tcW w:w="4222" w:type="dxa"/>
            <w:vAlign w:val="center"/>
          </w:tcPr>
          <w:p>
            <w:pPr>
              <w:spacing w:line="340" w:lineRule="exact"/>
              <w:ind w:firstLine="0" w:firstLineChars="0"/>
              <w:rPr>
                <w:rFonts w:ascii="Times New Roman" w:hAnsi="Times New Roman" w:cs="Times New Roman" w:eastAsiaTheme="majorEastAsia"/>
                <w:color w:val="000000" w:themeColor="text1"/>
                <w:sz w:val="24"/>
                <w:szCs w:val="20"/>
                <w14:textFill>
                  <w14:solidFill>
                    <w14:schemeClr w14:val="tx1"/>
                  </w14:solidFill>
                </w14:textFill>
              </w:rPr>
            </w:pPr>
            <w:r>
              <w:rPr>
                <w:rFonts w:ascii="Times New Roman" w:hAnsi="Times New Roman" w:cs="Times New Roman" w:eastAsiaTheme="majorEastAsia"/>
                <w:color w:val="000000" w:themeColor="text1"/>
                <w:sz w:val="24"/>
                <w:szCs w:val="20"/>
                <w14:textFill>
                  <w14:solidFill>
                    <w14:schemeClr w14:val="tx1"/>
                  </w14:solidFill>
                </w14:textFill>
              </w:rPr>
              <w:t>每千人3岁以下婴幼儿托位数（个）</w:t>
            </w:r>
          </w:p>
        </w:tc>
        <w:tc>
          <w:tcPr>
            <w:tcW w:w="1165" w:type="dxa"/>
            <w:vAlign w:val="center"/>
          </w:tcPr>
          <w:p>
            <w:pPr>
              <w:spacing w:line="340" w:lineRule="exact"/>
              <w:ind w:firstLine="0" w:firstLineChars="0"/>
              <w:rPr>
                <w:rFonts w:ascii="Times New Roman" w:hAnsi="Times New Roman" w:cs="Times New Roman" w:eastAsiaTheme="majorEastAsia"/>
                <w:color w:val="000000" w:themeColor="text1"/>
                <w:sz w:val="24"/>
                <w:szCs w:val="20"/>
                <w14:textFill>
                  <w14:solidFill>
                    <w14:schemeClr w14:val="tx1"/>
                  </w14:solidFill>
                </w14:textFill>
              </w:rPr>
            </w:pPr>
            <w:r>
              <w:rPr>
                <w:rFonts w:ascii="Times New Roman" w:hAnsi="Times New Roman" w:cs="Times New Roman" w:eastAsiaTheme="majorEastAsia"/>
                <w:color w:val="000000" w:themeColor="text1"/>
                <w:sz w:val="24"/>
                <w:szCs w:val="20"/>
                <w14:textFill>
                  <w14:solidFill>
                    <w14:schemeClr w14:val="tx1"/>
                  </w14:solidFill>
                </w14:textFill>
              </w:rPr>
              <w:t>0.8</w:t>
            </w:r>
          </w:p>
        </w:tc>
        <w:tc>
          <w:tcPr>
            <w:tcW w:w="1569" w:type="dxa"/>
            <w:vAlign w:val="center"/>
          </w:tcPr>
          <w:p>
            <w:pPr>
              <w:spacing w:line="340" w:lineRule="exact"/>
              <w:ind w:firstLine="0" w:firstLineChars="0"/>
              <w:rPr>
                <w:rFonts w:ascii="Times New Roman" w:hAnsi="Times New Roman" w:cs="Times New Roman" w:eastAsiaTheme="majorEastAsia"/>
                <w:color w:val="000000" w:themeColor="text1"/>
                <w:sz w:val="24"/>
                <w:szCs w:val="20"/>
                <w14:textFill>
                  <w14:solidFill>
                    <w14:schemeClr w14:val="tx1"/>
                  </w14:solidFill>
                </w14:textFill>
              </w:rPr>
            </w:pPr>
            <w:r>
              <w:rPr>
                <w:rFonts w:ascii="Times New Roman" w:hAnsi="Times New Roman" w:cs="Times New Roman" w:eastAsiaTheme="majorEastAsia"/>
                <w:color w:val="000000" w:themeColor="text1"/>
                <w:sz w:val="24"/>
                <w:szCs w:val="20"/>
                <w14:textFill>
                  <w14:solidFill>
                    <w14:schemeClr w14:val="tx1"/>
                  </w14:solidFill>
                </w14:textFill>
              </w:rPr>
              <w:t>4.5</w:t>
            </w:r>
          </w:p>
        </w:tc>
        <w:tc>
          <w:tcPr>
            <w:tcW w:w="796" w:type="dxa"/>
            <w:vAlign w:val="center"/>
          </w:tcPr>
          <w:p>
            <w:pPr>
              <w:spacing w:line="340" w:lineRule="exact"/>
              <w:ind w:firstLine="0" w:firstLineChars="0"/>
              <w:rPr>
                <w:rFonts w:ascii="Times New Roman" w:hAnsi="Times New Roman" w:cs="Times New Roman" w:eastAsiaTheme="majorEastAsia"/>
                <w:color w:val="000000" w:themeColor="text1"/>
                <w:sz w:val="24"/>
                <w:szCs w:val="20"/>
                <w14:textFill>
                  <w14:solidFill>
                    <w14:schemeClr w14:val="tx1"/>
                  </w14:solidFill>
                </w14:textFill>
              </w:rPr>
            </w:pPr>
            <w:r>
              <w:rPr>
                <w:rFonts w:ascii="Times New Roman" w:hAnsi="Times New Roman" w:cs="Times New Roman" w:eastAsiaTheme="majorEastAsia"/>
                <w:color w:val="000000" w:themeColor="text1"/>
                <w:sz w:val="24"/>
                <w:szCs w:val="20"/>
                <w14:textFill>
                  <w14:solidFill>
                    <w14:schemeClr w14:val="tx1"/>
                  </w14:solidFill>
                </w14:textFill>
              </w:rPr>
              <w:t>预期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74" w:type="dxa"/>
            <w:vAlign w:val="center"/>
          </w:tcPr>
          <w:p>
            <w:pPr>
              <w:spacing w:line="340" w:lineRule="exact"/>
              <w:ind w:firstLine="0" w:firstLineChars="0"/>
              <w:jc w:val="center"/>
              <w:rPr>
                <w:rFonts w:ascii="Times New Roman" w:hAnsi="Times New Roman" w:cs="Times New Roman" w:eastAsiaTheme="majorEastAsia"/>
                <w:color w:val="000000" w:themeColor="text1"/>
                <w:sz w:val="24"/>
                <w:szCs w:val="20"/>
                <w14:textFill>
                  <w14:solidFill>
                    <w14:schemeClr w14:val="tx1"/>
                  </w14:solidFill>
                </w14:textFill>
              </w:rPr>
            </w:pPr>
            <w:r>
              <w:rPr>
                <w:rFonts w:ascii="Times New Roman" w:hAnsi="Times New Roman" w:cs="Times New Roman" w:eastAsiaTheme="majorEastAsia"/>
                <w:color w:val="000000" w:themeColor="text1"/>
                <w:sz w:val="24"/>
                <w:szCs w:val="20"/>
                <w14:textFill>
                  <w14:solidFill>
                    <w14:schemeClr w14:val="tx1"/>
                  </w14:solidFill>
                </w14:textFill>
              </w:rPr>
              <w:t>健康保障</w:t>
            </w:r>
          </w:p>
        </w:tc>
        <w:tc>
          <w:tcPr>
            <w:tcW w:w="582" w:type="dxa"/>
            <w:vAlign w:val="center"/>
          </w:tcPr>
          <w:p>
            <w:pPr>
              <w:spacing w:line="340" w:lineRule="exact"/>
              <w:ind w:firstLine="0" w:firstLineChars="0"/>
              <w:rPr>
                <w:rFonts w:ascii="Times New Roman" w:hAnsi="Times New Roman" w:cs="Times New Roman" w:eastAsiaTheme="majorEastAsia"/>
                <w:color w:val="000000" w:themeColor="text1"/>
                <w:sz w:val="24"/>
                <w:szCs w:val="20"/>
                <w14:textFill>
                  <w14:solidFill>
                    <w14:schemeClr w14:val="tx1"/>
                  </w14:solidFill>
                </w14:textFill>
              </w:rPr>
            </w:pPr>
            <w:r>
              <w:rPr>
                <w:rFonts w:ascii="Times New Roman" w:hAnsi="Times New Roman" w:cs="Times New Roman" w:eastAsiaTheme="majorEastAsia"/>
                <w:color w:val="000000" w:themeColor="text1"/>
                <w:sz w:val="24"/>
                <w:szCs w:val="20"/>
                <w14:textFill>
                  <w14:solidFill>
                    <w14:schemeClr w14:val="tx1"/>
                  </w14:solidFill>
                </w14:textFill>
              </w:rPr>
              <w:t>22</w:t>
            </w:r>
          </w:p>
        </w:tc>
        <w:tc>
          <w:tcPr>
            <w:tcW w:w="4222" w:type="dxa"/>
            <w:vAlign w:val="center"/>
          </w:tcPr>
          <w:p>
            <w:pPr>
              <w:spacing w:line="340" w:lineRule="exact"/>
              <w:ind w:firstLine="0" w:firstLineChars="0"/>
              <w:rPr>
                <w:rFonts w:ascii="Times New Roman" w:hAnsi="Times New Roman" w:cs="Times New Roman" w:eastAsiaTheme="majorEastAsia"/>
                <w:color w:val="000000" w:themeColor="text1"/>
                <w:sz w:val="24"/>
                <w:szCs w:val="20"/>
                <w14:textFill>
                  <w14:solidFill>
                    <w14:schemeClr w14:val="tx1"/>
                  </w14:solidFill>
                </w14:textFill>
              </w:rPr>
            </w:pPr>
            <w:r>
              <w:rPr>
                <w:rFonts w:ascii="Times New Roman" w:hAnsi="Times New Roman" w:cs="Times New Roman" w:eastAsiaTheme="majorEastAsia"/>
                <w:color w:val="000000" w:themeColor="text1"/>
                <w:sz w:val="24"/>
                <w:szCs w:val="20"/>
                <w14:textFill>
                  <w14:solidFill>
                    <w14:schemeClr w14:val="tx1"/>
                  </w14:solidFill>
                </w14:textFill>
              </w:rPr>
              <w:t>个人卫生支出占卫生总费用的比重（%）</w:t>
            </w:r>
          </w:p>
        </w:tc>
        <w:tc>
          <w:tcPr>
            <w:tcW w:w="1165" w:type="dxa"/>
            <w:vAlign w:val="center"/>
          </w:tcPr>
          <w:p>
            <w:pPr>
              <w:spacing w:line="340" w:lineRule="exact"/>
              <w:ind w:firstLine="0" w:firstLineChars="0"/>
              <w:rPr>
                <w:rFonts w:ascii="Times New Roman" w:hAnsi="Times New Roman" w:cs="Times New Roman" w:eastAsiaTheme="majorEastAsia"/>
                <w:color w:val="000000" w:themeColor="text1"/>
                <w:sz w:val="24"/>
                <w:szCs w:val="20"/>
                <w14:textFill>
                  <w14:solidFill>
                    <w14:schemeClr w14:val="tx1"/>
                  </w14:solidFill>
                </w14:textFill>
              </w:rPr>
            </w:pPr>
            <w:r>
              <w:rPr>
                <w:rFonts w:ascii="Times New Roman" w:hAnsi="Times New Roman" w:cs="Times New Roman" w:eastAsiaTheme="majorEastAsia"/>
                <w:color w:val="000000" w:themeColor="text1"/>
                <w:sz w:val="24"/>
                <w:szCs w:val="20"/>
                <w14:textFill>
                  <w14:solidFill>
                    <w14:schemeClr w14:val="tx1"/>
                  </w14:solidFill>
                </w14:textFill>
              </w:rPr>
              <w:t>29.34</w:t>
            </w:r>
          </w:p>
        </w:tc>
        <w:tc>
          <w:tcPr>
            <w:tcW w:w="1569" w:type="dxa"/>
            <w:vAlign w:val="center"/>
          </w:tcPr>
          <w:p>
            <w:pPr>
              <w:spacing w:line="340" w:lineRule="exact"/>
              <w:ind w:firstLine="0" w:firstLineChars="0"/>
              <w:rPr>
                <w:rFonts w:ascii="Times New Roman" w:hAnsi="Times New Roman" w:cs="Times New Roman" w:eastAsiaTheme="majorEastAsia"/>
                <w:color w:val="000000" w:themeColor="text1"/>
                <w:sz w:val="24"/>
                <w:szCs w:val="20"/>
                <w14:textFill>
                  <w14:solidFill>
                    <w14:schemeClr w14:val="tx1"/>
                  </w14:solidFill>
                </w14:textFill>
              </w:rPr>
            </w:pPr>
            <w:r>
              <w:rPr>
                <w:rFonts w:ascii="Times New Roman" w:hAnsi="Times New Roman" w:cs="Times New Roman" w:eastAsiaTheme="majorEastAsia"/>
                <w:color w:val="000000" w:themeColor="text1"/>
                <w:sz w:val="24"/>
                <w:szCs w:val="20"/>
                <w14:textFill>
                  <w14:solidFill>
                    <w14:schemeClr w14:val="tx1"/>
                  </w14:solidFill>
                </w14:textFill>
              </w:rPr>
              <w:t>＜28</w:t>
            </w:r>
          </w:p>
        </w:tc>
        <w:tc>
          <w:tcPr>
            <w:tcW w:w="796" w:type="dxa"/>
            <w:vAlign w:val="center"/>
          </w:tcPr>
          <w:p>
            <w:pPr>
              <w:spacing w:line="340" w:lineRule="exact"/>
              <w:ind w:firstLine="0" w:firstLineChars="0"/>
              <w:rPr>
                <w:rFonts w:ascii="Times New Roman" w:hAnsi="Times New Roman" w:cs="Times New Roman" w:eastAsiaTheme="majorEastAsia"/>
                <w:color w:val="000000" w:themeColor="text1"/>
                <w:sz w:val="24"/>
                <w:szCs w:val="20"/>
                <w14:textFill>
                  <w14:solidFill>
                    <w14:schemeClr w14:val="tx1"/>
                  </w14:solidFill>
                </w14:textFill>
              </w:rPr>
            </w:pPr>
            <w:r>
              <w:rPr>
                <w:rFonts w:ascii="Times New Roman" w:hAnsi="Times New Roman" w:cs="Times New Roman" w:eastAsiaTheme="majorEastAsia"/>
                <w:color w:val="000000" w:themeColor="text1"/>
                <w:sz w:val="24"/>
                <w:szCs w:val="20"/>
                <w14:textFill>
                  <w14:solidFill>
                    <w14:schemeClr w14:val="tx1"/>
                  </w14:solidFill>
                </w14:textFill>
              </w:rPr>
              <w:t>预期</w:t>
            </w:r>
          </w:p>
        </w:tc>
      </w:tr>
    </w:tbl>
    <w:p>
      <w:pPr>
        <w:pStyle w:val="2"/>
        <w:adjustRightInd w:val="0"/>
        <w:spacing w:line="600" w:lineRule="exact"/>
        <w:ind w:firstLine="640"/>
        <w:rPr>
          <w:rFonts w:ascii="Times New Roman" w:hAnsi="Times New Roman" w:cs="Times New Roman"/>
          <w:szCs w:val="32"/>
        </w:rPr>
      </w:pPr>
      <w:bookmarkStart w:id="64" w:name="_Toc110018712"/>
      <w:bookmarkStart w:id="65" w:name="_Toc110613638"/>
      <w:bookmarkStart w:id="66" w:name="_Toc119179954"/>
      <w:r>
        <w:rPr>
          <w:rFonts w:ascii="Times New Roman" w:hAnsi="Times New Roman" w:cs="Times New Roman"/>
          <w:szCs w:val="32"/>
        </w:rPr>
        <w:t>三、主要任务</w:t>
      </w:r>
      <w:bookmarkEnd w:id="64"/>
      <w:bookmarkEnd w:id="65"/>
      <w:bookmarkEnd w:id="66"/>
    </w:p>
    <w:p>
      <w:pPr>
        <w:pStyle w:val="3"/>
        <w:keepNext w:val="0"/>
        <w:keepLines w:val="0"/>
        <w:adjustRightInd w:val="0"/>
        <w:spacing w:line="600" w:lineRule="exact"/>
        <w:ind w:firstLine="643"/>
        <w:rPr>
          <w:rFonts w:ascii="Times New Roman" w:hAnsi="Times New Roman" w:eastAsia="楷体_GB2312" w:cs="Times New Roman"/>
        </w:rPr>
      </w:pPr>
      <w:bookmarkStart w:id="67" w:name="_Toc110018713"/>
      <w:bookmarkStart w:id="68" w:name="_Toc110613639"/>
      <w:bookmarkStart w:id="69" w:name="_Toc119179955"/>
      <w:bookmarkStart w:id="70" w:name="_Toc102134276"/>
      <w:r>
        <w:rPr>
          <w:rFonts w:ascii="Times New Roman" w:hAnsi="Times New Roman" w:eastAsia="楷体_GB2312" w:cs="Times New Roman"/>
        </w:rPr>
        <w:t>（一）构建优质高效公共卫生服务体系</w:t>
      </w:r>
      <w:bookmarkEnd w:id="67"/>
      <w:bookmarkEnd w:id="68"/>
      <w:bookmarkEnd w:id="69"/>
      <w:bookmarkEnd w:id="70"/>
    </w:p>
    <w:p>
      <w:pPr>
        <w:adjustRightInd w:val="0"/>
        <w:spacing w:line="600" w:lineRule="exact"/>
        <w:ind w:firstLine="643"/>
        <w:rPr>
          <w:rFonts w:ascii="Times New Roman" w:hAnsi="Times New Roman" w:cs="Times New Roman"/>
          <w:b/>
          <w:bCs/>
          <w:color w:val="000000" w:themeColor="text1"/>
          <w:szCs w:val="32"/>
          <w14:textFill>
            <w14:solidFill>
              <w14:schemeClr w14:val="tx1"/>
            </w14:solidFill>
          </w14:textFill>
        </w:rPr>
      </w:pPr>
      <w:bookmarkStart w:id="71" w:name="_Toc102134277"/>
      <w:bookmarkStart w:id="72" w:name="_Toc110613640"/>
      <w:bookmarkStart w:id="73" w:name="_Toc119179956"/>
      <w:r>
        <w:rPr>
          <w:rStyle w:val="22"/>
          <w:rFonts w:ascii="Times New Roman" w:hAnsi="Times New Roman" w:cs="Times New Roman"/>
        </w:rPr>
        <w:t>1、改革完善疾病预防控制体系。</w:t>
      </w:r>
      <w:bookmarkEnd w:id="71"/>
      <w:bookmarkEnd w:id="72"/>
      <w:bookmarkEnd w:id="73"/>
      <w:r>
        <w:rPr>
          <w:rFonts w:ascii="Times New Roman" w:hAnsi="Times New Roman" w:cs="Times New Roman"/>
          <w:color w:val="000000" w:themeColor="text1"/>
          <w:szCs w:val="32"/>
          <w14:textFill>
            <w14:solidFill>
              <w14:schemeClr w14:val="tx1"/>
            </w14:solidFill>
          </w14:textFill>
        </w:rPr>
        <w:t>落实疾病预防控制体系改革要求，推进疾病预防控制机构标准化建设和分级化管理，健全以市、旗县区两级疾病预防控制中心为骨干，医疗机构为依托，基层医疗卫生机构为网底，防治结合的疾病预防控制体系，建立上下联动的分工协作机制。落实医疗机构疾病预防控制职责，加强疾病预防控制机构、医疗卫生机构、城乡社区联动，</w:t>
      </w:r>
      <w:r>
        <w:rPr>
          <w:rFonts w:ascii="Times New Roman" w:hAnsi="Times New Roman" w:cs="Times New Roman"/>
          <w:szCs w:val="32"/>
        </w:rPr>
        <w:t>建立完善</w:t>
      </w:r>
      <w:r>
        <w:rPr>
          <w:rFonts w:ascii="Times New Roman" w:hAnsi="Times New Roman" w:cs="Times New Roman"/>
          <w:szCs w:val="32"/>
          <w:shd w:val="clear" w:color="auto" w:fill="FFFFFF"/>
        </w:rPr>
        <w:t>人员、信息、资源互通和监督监管相互制约的医防协同工作机制，</w:t>
      </w:r>
      <w:r>
        <w:rPr>
          <w:rFonts w:ascii="Times New Roman" w:hAnsi="Times New Roman" w:cs="Times New Roman"/>
          <w:color w:val="000000" w:themeColor="text1"/>
          <w:szCs w:val="32"/>
          <w14:textFill>
            <w14:solidFill>
              <w14:schemeClr w14:val="tx1"/>
            </w14:solidFill>
          </w14:textFill>
        </w:rPr>
        <w:t>夯实联防联控、群防群控基础。健全多渠道监测预警机制，提高分析研判能力。加强流行病学调查和检测能力建设，提高疫情防控和应急处置能力。健全完善传染病监测报告管理、慢性病防治管理、职业病防治、疾病有害因素监测、食源性疾病监测、突发事件应急处置等监测系统和工作机制。建立稳定的公共卫生事业投入机制，持续加大重大疫病防治经费投入。形成政府主导、社会参与、部门配合、联防联控、上下联动、分工协作的疾病防控局面。</w:t>
      </w:r>
    </w:p>
    <w:p>
      <w:pPr>
        <w:adjustRightInd w:val="0"/>
        <w:spacing w:line="600" w:lineRule="exact"/>
        <w:ind w:firstLine="643"/>
        <w:rPr>
          <w:rFonts w:ascii="Times New Roman" w:hAnsi="Times New Roman" w:cs="Times New Roman"/>
          <w:color w:val="000000" w:themeColor="text1"/>
          <w:szCs w:val="32"/>
          <w14:textFill>
            <w14:solidFill>
              <w14:schemeClr w14:val="tx1"/>
            </w14:solidFill>
          </w14:textFill>
        </w:rPr>
      </w:pPr>
      <w:bookmarkStart w:id="74" w:name="_Toc102134278"/>
      <w:bookmarkStart w:id="75" w:name="_Toc110613641"/>
      <w:bookmarkStart w:id="76" w:name="_Toc119179957"/>
      <w:r>
        <w:rPr>
          <w:rStyle w:val="22"/>
          <w:rFonts w:ascii="Times New Roman" w:hAnsi="Times New Roman" w:cs="Times New Roman"/>
        </w:rPr>
        <w:t>2、加强疾病预防控制机构能力建设。</w:t>
      </w:r>
      <w:bookmarkEnd w:id="74"/>
      <w:bookmarkEnd w:id="75"/>
      <w:bookmarkEnd w:id="76"/>
      <w:r>
        <w:rPr>
          <w:rFonts w:ascii="Times New Roman" w:hAnsi="Times New Roman" w:cs="Times New Roman"/>
          <w:color w:val="000000" w:themeColor="text1"/>
          <w:szCs w:val="32"/>
          <w14:textFill>
            <w14:solidFill>
              <w14:schemeClr w14:val="tx1"/>
            </w14:solidFill>
          </w14:textFill>
        </w:rPr>
        <w:t>实施市域两级疾病预防控制中心达标建设和能力提升工程，加快推进市疾病预防控制中心应急中心大楼建设项目和病媒生物实验室建设，力争到“十四五”末，市疾病预防控制中心总建筑面积不少于1.7万平方米，实验室面积不少于8530平方米。各旗县区疾病预防控制中心总建筑面积均不少于6840平方米，实验室面积不少于3010平方米。实现市域两级疾病预防控制中心基础设施和监测检测仪器设备100%达标。</w:t>
      </w:r>
      <w:r>
        <w:rPr>
          <w:rFonts w:ascii="Times New Roman" w:hAnsi="Times New Roman" w:cs="Times New Roman"/>
          <w:b/>
          <w:bCs/>
          <w:color w:val="000000" w:themeColor="text1"/>
          <w:szCs w:val="32"/>
          <w14:textFill>
            <w14:solidFill>
              <w14:schemeClr w14:val="tx1"/>
            </w14:solidFill>
          </w14:textFill>
        </w:rPr>
        <w:t>全面提升实验室检测和应急处置能力。</w:t>
      </w:r>
      <w:r>
        <w:rPr>
          <w:rFonts w:ascii="Times New Roman" w:hAnsi="Times New Roman" w:cs="Times New Roman"/>
          <w:color w:val="000000" w:themeColor="text1"/>
          <w:szCs w:val="32"/>
          <w14:textFill>
            <w14:solidFill>
              <w14:schemeClr w14:val="tx1"/>
            </w14:solidFill>
          </w14:textFill>
        </w:rPr>
        <w:t>市疾病预防控制中心要健全完善新冠肺炎、鼠疫、艾滋病、流感、布病等病原体检测专用二级生物安全实验室以及免疫实验室、职业卫生实验室管理运行，在现有传染病病原体、地方病、职业病、食品安全、健康危害因素检测能力的基础上，具备病毒培养分型、布鲁氏菌培养、基因测序、病媒生物检测、消毒效果评价、新发传染病检测的能力。旗县区疾病预防控制中心要具备常见传染病病原体、地方病、职业病、健康危害因素检测能力，能够满足日常监测及应急处置工作需求，具备现场检验检测、流行病学调查、应急处置等能力。大力推进疾病预防控制信息化建设，建立多部门业务协同和信息共享机制，推进健康大数据在公共卫生领域的应用，建成致病菌识别网并投入运行。</w:t>
      </w:r>
      <w:r>
        <w:rPr>
          <w:rFonts w:ascii="Times New Roman" w:hAnsi="Times New Roman" w:cs="Times New Roman"/>
          <w:b/>
          <w:szCs w:val="32"/>
        </w:rPr>
        <w:t>加强</w:t>
      </w:r>
      <w:r>
        <w:rPr>
          <w:rFonts w:ascii="Times New Roman" w:hAnsi="Times New Roman" w:cs="Times New Roman"/>
          <w:b/>
          <w:bCs/>
          <w:szCs w:val="32"/>
        </w:rPr>
        <w:t>疾</w:t>
      </w:r>
      <w:r>
        <w:rPr>
          <w:rFonts w:ascii="Times New Roman" w:hAnsi="Times New Roman" w:cs="Times New Roman"/>
          <w:b/>
          <w:bCs/>
          <w:color w:val="000000" w:themeColor="text1"/>
          <w:szCs w:val="32"/>
          <w14:textFill>
            <w14:solidFill>
              <w14:schemeClr w14:val="tx1"/>
            </w14:solidFill>
          </w14:textFill>
        </w:rPr>
        <w:t>病预防控制人才队伍建设。</w:t>
      </w:r>
      <w:r>
        <w:rPr>
          <w:rFonts w:ascii="Times New Roman" w:hAnsi="Times New Roman" w:cs="Times New Roman"/>
          <w:color w:val="000000" w:themeColor="text1"/>
          <w:szCs w:val="32"/>
          <w14:textFill>
            <w14:solidFill>
              <w14:schemeClr w14:val="tx1"/>
            </w14:solidFill>
          </w14:textFill>
        </w:rPr>
        <w:t>合理核定各级疾病预防控制机构人员编制，市疾病预防控制中心人员编制数要达到常驻人口数每万人0.9以上，各旗县区疾病预防控制中心人员编制数要达到常驻人口数每万人1.9以上且不少于25人，其中专业人员占比达到85%以上、卫生专业人员占比达到70%以上，充实完善全市流行病学调查溯源队伍，市级配备不少于80人，临河区配备不少于50人，乌拉特前旗、乌拉特中旗、杭锦后旗、五原县各配备不少于25人，乌拉特后旗、磴口县不少于15人，各级疾控机构工作人员满编运行。</w:t>
      </w:r>
      <w:bookmarkStart w:id="77" w:name="_Toc102134279"/>
    </w:p>
    <w:p>
      <w:pPr>
        <w:adjustRightInd w:val="0"/>
        <w:spacing w:line="600" w:lineRule="exact"/>
        <w:ind w:firstLine="643"/>
        <w:rPr>
          <w:rFonts w:ascii="Times New Roman" w:hAnsi="Times New Roman" w:cs="Times New Roman"/>
          <w:b/>
          <w:bCs/>
          <w:szCs w:val="32"/>
        </w:rPr>
      </w:pPr>
      <w:bookmarkStart w:id="78" w:name="_Toc119179958"/>
      <w:bookmarkStart w:id="79" w:name="_Toc110613642"/>
      <w:r>
        <w:rPr>
          <w:rStyle w:val="22"/>
          <w:rFonts w:ascii="Times New Roman" w:hAnsi="Times New Roman" w:cs="Times New Roman"/>
        </w:rPr>
        <w:t>3、完善重大疾病联防联控机制，加强重大疾病防治</w:t>
      </w:r>
      <w:bookmarkEnd w:id="78"/>
      <w:bookmarkEnd w:id="79"/>
      <w:r>
        <w:rPr>
          <w:rFonts w:ascii="Times New Roman" w:hAnsi="Times New Roman" w:cs="Times New Roman"/>
          <w:b/>
          <w:bCs/>
          <w:szCs w:val="32"/>
        </w:rPr>
        <w:t>。强化传染病防控。</w:t>
      </w:r>
      <w:r>
        <w:rPr>
          <w:rFonts w:ascii="Times New Roman" w:hAnsi="Times New Roman" w:cs="Times New Roman"/>
          <w:szCs w:val="32"/>
        </w:rPr>
        <w:t>重点做好新冠肺炎、鼠疫疫情防控。进一步加强流感、艾滋病、结核病、布病等传染病防控。艾滋病疫情持续控制在低流行水平，落实结核病防治策略，推行“三位一体”的人间布病防治模式，全面实施病毒性肝炎防治措施，开展消除丙肝公共卫生危害行动。法定传染病报告率保持在95%以上，以苏木乡镇（街道）为单位适龄儿童规划免疫疫苗接种率达到95%以上，稳妥有序做好新冠病毒疫苗接种工作，提高人群接种率。巩固重点寄生虫病、地方病防治成果，加强包虫病综合防治，确保持续消除碘缺乏危害，有效控制饮水型氟砷中毒、饮茶型地氟病和水源性高碘危害。实施慢性病综合防控策略，推进慢性非传染性疾病防治。重大慢性病发病率上升趋势得到遏制。推进慢性病防治综合示范区建设，“十四五”末，自治区级慢性病防治综合示范区全覆盖，五原县、磴口县、乌拉特前旗、杭锦后旗建成国家级慢性病防治综合示范区。死因监测报告率持续保持在6‰以上，肿瘤登记报告率达到4‰以上。</w:t>
      </w:r>
    </w:p>
    <w:p>
      <w:pPr>
        <w:adjustRightInd w:val="0"/>
        <w:spacing w:line="600" w:lineRule="exact"/>
        <w:ind w:firstLine="643"/>
        <w:rPr>
          <w:rFonts w:ascii="Times New Roman" w:hAnsi="Times New Roman" w:cs="Times New Roman"/>
          <w:color w:val="000000" w:themeColor="text1"/>
          <w:szCs w:val="32"/>
          <w14:textFill>
            <w14:solidFill>
              <w14:schemeClr w14:val="tx1"/>
            </w14:solidFill>
          </w14:textFill>
        </w:rPr>
      </w:pPr>
      <w:bookmarkStart w:id="80" w:name="_Toc110613643"/>
      <w:bookmarkStart w:id="81" w:name="_Toc119179959"/>
      <w:r>
        <w:rPr>
          <w:rStyle w:val="22"/>
          <w:rFonts w:ascii="Times New Roman" w:hAnsi="Times New Roman" w:cs="Times New Roman"/>
        </w:rPr>
        <w:t>4、加强医疗机构公共卫生能力建设</w:t>
      </w:r>
      <w:bookmarkEnd w:id="77"/>
      <w:r>
        <w:rPr>
          <w:rStyle w:val="22"/>
          <w:rFonts w:ascii="Times New Roman" w:hAnsi="Times New Roman" w:cs="Times New Roman"/>
        </w:rPr>
        <w:t>，促进医防融合。</w:t>
      </w:r>
      <w:bookmarkEnd w:id="80"/>
      <w:bookmarkEnd w:id="81"/>
      <w:r>
        <w:rPr>
          <w:rFonts w:ascii="Times New Roman" w:hAnsi="Times New Roman" w:cs="Times New Roman"/>
          <w:color w:val="000000" w:themeColor="text1"/>
          <w:szCs w:val="32"/>
          <w14:textFill>
            <w14:solidFill>
              <w14:schemeClr w14:val="tx1"/>
            </w14:solidFill>
          </w14:textFill>
        </w:rPr>
        <w:t>落实医疗机构公共卫生职能和医务人员公共卫生职责，健全完善医疗机构和专业公共卫生机构之间密切协作的工作机制。二级及以上公立医疗机构要成立公共卫生工作管理委员会，设置公共卫生科，统筹协调和推动医院履行公共卫生工作职责，做好传染病报告诊疗管理、慢性病防治管理、食源性疾病监测、预防接种、健康教育等工作。到2025年，医疗机构公共卫生科室和公共卫生人员配置100%达标。依托国家基本公共卫生服务项目，实施城乡社区慢病医防融合能力提升工程，为每个苏木乡镇卫生院和社区卫生服务中心培养1-2名具备医防管理能力的复合型骨干人员，探索建立以基层医生团队为绩效考核单元、以健康结果和居民满意度为导向的考核体系，推动预防、治疗、护理、康复有机衔接，形成“病前主动防，病后科学管，跟踪服务不间断”的一体化健康管理服务。</w:t>
      </w:r>
      <w:bookmarkStart w:id="82" w:name="_Toc102134280"/>
    </w:p>
    <w:p>
      <w:pPr>
        <w:adjustRightInd w:val="0"/>
        <w:spacing w:line="600" w:lineRule="exact"/>
        <w:ind w:firstLine="643"/>
        <w:rPr>
          <w:rFonts w:ascii="Times New Roman" w:hAnsi="Times New Roman" w:cs="Times New Roman"/>
          <w:color w:val="000000" w:themeColor="text1"/>
          <w:szCs w:val="32"/>
          <w14:textFill>
            <w14:solidFill>
              <w14:schemeClr w14:val="tx1"/>
            </w14:solidFill>
          </w14:textFill>
        </w:rPr>
      </w:pPr>
      <w:bookmarkStart w:id="83" w:name="_Toc119179960"/>
      <w:bookmarkStart w:id="84" w:name="_Toc110613644"/>
      <w:r>
        <w:rPr>
          <w:rStyle w:val="22"/>
          <w:rFonts w:ascii="Times New Roman" w:hAnsi="Times New Roman" w:cs="Times New Roman"/>
        </w:rPr>
        <w:t>5、加快精神卫生服务能力建设</w:t>
      </w:r>
      <w:bookmarkEnd w:id="83"/>
      <w:bookmarkEnd w:id="84"/>
      <w:r>
        <w:rPr>
          <w:rFonts w:ascii="Times New Roman" w:hAnsi="Times New Roman" w:eastAsia="仿宋" w:cs="Times New Roman"/>
          <w:b/>
          <w:bCs/>
          <w:color w:val="000000" w:themeColor="text1"/>
          <w:szCs w:val="32"/>
          <w14:textFill>
            <w14:solidFill>
              <w14:schemeClr w14:val="tx1"/>
            </w14:solidFill>
          </w14:textFill>
        </w:rPr>
        <w:t>。</w:t>
      </w:r>
      <w:bookmarkEnd w:id="82"/>
      <w:r>
        <w:rPr>
          <w:rFonts w:ascii="Times New Roman" w:hAnsi="Times New Roman" w:cs="Times New Roman"/>
          <w:color w:val="000000" w:themeColor="text1"/>
          <w:szCs w:val="32"/>
          <w14:textFill>
            <w14:solidFill>
              <w14:schemeClr w14:val="tx1"/>
            </w14:solidFill>
          </w14:textFill>
        </w:rPr>
        <w:t>推行心理健康服务规范化管理，完善心理健康和精神卫生服务体系建设。加强旗县公立医院精神科或精神心理门诊建设，二级以上综合医院、中医（蒙医）医院、妇幼保健机构要设立精神心理门诊。充分发挥精神卫生专业机构引领示范作用，提升医疗机构和各类临床科室医务人员心理健康服务能力，建立综合医院、精神卫生专科医院、基层医疗卫生机构分工协作机制，建立医院、社区相衔接的精神疾病康复服务模式，加强抑郁症、焦虑障碍、睡眠障碍、儿童心理行为发育异常以及老年阿尔茨海默病等常见精神障碍和心理行为干预。各旗县区精神科医师要达到常驻人口10万分之4以上，严重精神障碍患者规范管理率达到92%以上。培育专业化、规范化社会心理健康服务机构，承担公众心理健康教育和心理咨询等任务，设立统一心理援助热线，为公众提供公益服务。</w:t>
      </w:r>
    </w:p>
    <w:p>
      <w:pPr>
        <w:adjustRightInd w:val="0"/>
        <w:spacing w:line="600" w:lineRule="exact"/>
        <w:ind w:firstLine="643"/>
        <w:rPr>
          <w:rFonts w:ascii="Times New Roman" w:hAnsi="Times New Roman" w:cs="Times New Roman"/>
          <w:color w:val="000000" w:themeColor="text1"/>
          <w:szCs w:val="32"/>
          <w14:textFill>
            <w14:solidFill>
              <w14:schemeClr w14:val="tx1"/>
            </w14:solidFill>
          </w14:textFill>
        </w:rPr>
      </w:pPr>
      <w:bookmarkStart w:id="85" w:name="_Toc119179961"/>
      <w:bookmarkStart w:id="86" w:name="_Toc110613645"/>
      <w:bookmarkStart w:id="87" w:name="_Toc102134281"/>
      <w:r>
        <w:rPr>
          <w:rStyle w:val="22"/>
          <w:rFonts w:ascii="Times New Roman" w:hAnsi="Times New Roman" w:cs="Times New Roman"/>
        </w:rPr>
        <w:t>6、加强职业病防治体系建设。</w:t>
      </w:r>
      <w:bookmarkEnd w:id="85"/>
      <w:bookmarkEnd w:id="86"/>
      <w:bookmarkEnd w:id="87"/>
      <w:bookmarkStart w:id="88" w:name="_Toc102134282"/>
      <w:r>
        <w:rPr>
          <w:rFonts w:ascii="Times New Roman" w:hAnsi="Times New Roman" w:cs="Times New Roman"/>
          <w:color w:val="000000" w:themeColor="text1"/>
          <w:szCs w:val="32"/>
          <w14:textFill>
            <w14:solidFill>
              <w14:schemeClr w14:val="tx1"/>
            </w14:solidFill>
          </w14:textFill>
        </w:rPr>
        <w:t>按照区域覆盖、优化配置、布局合理、功能齐全的原则，加强职业病防治机构建设，提升市级职业病诊断机构能力，旗县区至少有1家公立医疗卫生机构承担职业健康检查。健全职业病危害防治技术支撑体系，有效提升职业病防治能力，切实保障劳动者职业健康。以粉尘、毒物、噪声、电离等职业危害防护治理为重点，加强职业病危害检验检测能力，加强职业健康监督管理与职业医学技术支撑，扩大职业病健康检查覆盖面和频次，开展职业健康风险评估。</w:t>
      </w:r>
    </w:p>
    <w:p>
      <w:pPr>
        <w:adjustRightInd w:val="0"/>
        <w:spacing w:line="600" w:lineRule="exact"/>
        <w:ind w:firstLine="643"/>
        <w:rPr>
          <w:rFonts w:ascii="Times New Roman" w:hAnsi="Times New Roman" w:cs="Times New Roman"/>
          <w:color w:val="000000" w:themeColor="text1"/>
          <w:szCs w:val="32"/>
          <w14:textFill>
            <w14:solidFill>
              <w14:schemeClr w14:val="tx1"/>
            </w14:solidFill>
          </w14:textFill>
        </w:rPr>
      </w:pPr>
      <w:bookmarkStart w:id="89" w:name="_Toc110613646"/>
      <w:bookmarkStart w:id="90" w:name="_Toc119179962"/>
      <w:r>
        <w:rPr>
          <w:rStyle w:val="22"/>
          <w:rFonts w:ascii="Times New Roman" w:hAnsi="Times New Roman" w:cs="Times New Roman"/>
        </w:rPr>
        <w:t>7、加强卫生监督体系建设</w:t>
      </w:r>
      <w:bookmarkEnd w:id="89"/>
      <w:bookmarkEnd w:id="90"/>
      <w:r>
        <w:rPr>
          <w:rFonts w:ascii="Times New Roman" w:hAnsi="Times New Roman" w:eastAsia="仿宋" w:cs="Times New Roman"/>
          <w:b/>
          <w:bCs/>
          <w:color w:val="000000" w:themeColor="text1"/>
          <w:szCs w:val="32"/>
          <w14:textFill>
            <w14:solidFill>
              <w14:schemeClr w14:val="tx1"/>
            </w14:solidFill>
          </w14:textFill>
        </w:rPr>
        <w:t>。</w:t>
      </w:r>
      <w:bookmarkEnd w:id="88"/>
      <w:r>
        <w:rPr>
          <w:rFonts w:ascii="Times New Roman" w:hAnsi="Times New Roman" w:cs="Times New Roman"/>
          <w:color w:val="000000" w:themeColor="text1"/>
          <w:szCs w:val="32"/>
          <w14:textFill>
            <w14:solidFill>
              <w14:schemeClr w14:val="tx1"/>
            </w14:solidFill>
          </w14:textFill>
        </w:rPr>
        <w:t>深化执法机构改革，建立高效的执法监督机制，明确市县两级卫生执法监督机构职能，全面推进卫生监督机构规范化建设。常驻人口总数低于10万人的旗县，配备10名以上卫生监督人员，其余旗县区按照辖区每万名常驻人口配置1-1.5名卫生监督员，优化和加强基层卫生监督机构人员配置，人员在岗率不低于90%。优化卫生监督设施设备配置，强化技术支撑，提高现场取证和执法处理能力。按照机构编制人数配备行政执法车辆。推进建立“信用+综合监管”等新型监管机制，健全联合惩戒机制。到2025年，全市卫生监督机构实现运用智能执法终端开展现场执法工作，卫生监督工作全部装备信息化系统，建成“设置科学、功能完善，制度健全、管理规范，保障有力、运行高效”的执法体系。</w:t>
      </w:r>
    </w:p>
    <w:p>
      <w:pPr>
        <w:adjustRightInd w:val="0"/>
        <w:spacing w:line="600" w:lineRule="exact"/>
        <w:ind w:firstLine="643"/>
        <w:rPr>
          <w:rFonts w:ascii="Times New Roman" w:hAnsi="Times New Roman" w:cs="Times New Roman"/>
          <w:color w:val="000000" w:themeColor="text1"/>
          <w:szCs w:val="32"/>
          <w14:textFill>
            <w14:solidFill>
              <w14:schemeClr w14:val="tx1"/>
            </w14:solidFill>
          </w14:textFill>
        </w:rPr>
      </w:pPr>
      <w:bookmarkStart w:id="91" w:name="_Toc110613647"/>
      <w:bookmarkStart w:id="92" w:name="_Toc119179963"/>
      <w:bookmarkStart w:id="93" w:name="_Toc102134283"/>
      <w:r>
        <w:rPr>
          <w:rStyle w:val="22"/>
          <w:rFonts w:ascii="Times New Roman" w:hAnsi="Times New Roman" w:cs="Times New Roman"/>
        </w:rPr>
        <w:t>8、完善各项公共卫生管理制度</w:t>
      </w:r>
      <w:bookmarkEnd w:id="91"/>
      <w:bookmarkEnd w:id="92"/>
      <w:r>
        <w:rPr>
          <w:rFonts w:ascii="Times New Roman" w:hAnsi="Times New Roman" w:eastAsia="仿宋" w:cs="Times New Roman"/>
          <w:b/>
          <w:bCs/>
          <w:color w:val="000000" w:themeColor="text1"/>
          <w:szCs w:val="32"/>
          <w14:textFill>
            <w14:solidFill>
              <w14:schemeClr w14:val="tx1"/>
            </w14:solidFill>
          </w14:textFill>
        </w:rPr>
        <w:t>。</w:t>
      </w:r>
      <w:bookmarkEnd w:id="93"/>
      <w:r>
        <w:rPr>
          <w:rFonts w:ascii="Times New Roman" w:hAnsi="Times New Roman" w:cs="Times New Roman"/>
          <w:color w:val="000000" w:themeColor="text1"/>
          <w:szCs w:val="32"/>
          <w14:textFill>
            <w14:solidFill>
              <w14:schemeClr w14:val="tx1"/>
            </w14:solidFill>
          </w14:textFill>
        </w:rPr>
        <w:t>全面推行疾病预防控制机构分级管理，健全完善分级管理方案，推行量化指标考核，实现疾控机构精细化管理。市疾控中心要达到分级管理甲级B等，临河区、乌拉特前旗、五原县、杭锦后旗疾控中心要达到乙级A等，乌拉特中旗、乌拉特后旗、磴口县要达到乙级B等。</w:t>
      </w:r>
    </w:p>
    <w:tbl>
      <w:tblPr>
        <w:tblStyle w:val="30"/>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66" w:type="dxa"/>
            <w:vAlign w:val="center"/>
          </w:tcPr>
          <w:p>
            <w:pPr>
              <w:ind w:firstLine="0" w:firstLineChars="0"/>
              <w:jc w:val="center"/>
              <w:rPr>
                <w:rFonts w:ascii="Times New Roman" w:hAnsi="Times New Roman" w:cs="Times New Roman"/>
                <w:b/>
                <w:bCs/>
                <w:color w:val="000000" w:themeColor="text1"/>
                <w:sz w:val="28"/>
                <w:szCs w:val="21"/>
                <w14:textFill>
                  <w14:solidFill>
                    <w14:schemeClr w14:val="tx1"/>
                  </w14:solidFill>
                </w14:textFill>
              </w:rPr>
            </w:pPr>
            <w:r>
              <w:rPr>
                <w:rFonts w:ascii="Times New Roman" w:hAnsi="Times New Roman" w:cs="Times New Roman"/>
                <w:b/>
                <w:bCs/>
                <w:color w:val="000000" w:themeColor="text1"/>
                <w:sz w:val="28"/>
                <w:szCs w:val="21"/>
                <w14:textFill>
                  <w14:solidFill>
                    <w14:schemeClr w14:val="tx1"/>
                  </w14:solidFill>
                </w14:textFill>
              </w:rPr>
              <w:t>专栏1公共卫生重大项目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4" w:hRule="atLeast"/>
          <w:jc w:val="center"/>
        </w:trPr>
        <w:tc>
          <w:tcPr>
            <w:tcW w:w="11366" w:type="dxa"/>
          </w:tcPr>
          <w:p>
            <w:pPr>
              <w:spacing w:line="440" w:lineRule="exact"/>
              <w:ind w:firstLine="482"/>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b/>
                <w:bCs/>
                <w:color w:val="000000" w:themeColor="text1"/>
                <w:sz w:val="24"/>
                <w14:textFill>
                  <w14:solidFill>
                    <w14:schemeClr w14:val="tx1"/>
                  </w14:solidFill>
                </w14:textFill>
              </w:rPr>
              <w:t>疾病预防控制机构达标建设：</w:t>
            </w:r>
            <w:r>
              <w:rPr>
                <w:rFonts w:ascii="Times New Roman" w:hAnsi="Times New Roman" w:eastAsia="宋体" w:cs="Times New Roman"/>
                <w:color w:val="000000" w:themeColor="text1"/>
                <w:sz w:val="24"/>
                <w14:textFill>
                  <w14:solidFill>
                    <w14:schemeClr w14:val="tx1"/>
                  </w14:solidFill>
                </w14:textFill>
              </w:rPr>
              <w:t>全面改善疾病预防控制机构设施设备，加快推进市疾控中心应急中心大楼建设项目和病媒生物实验室建设，力争实现市及各旗县区疾病预防控制机构基础设施和仪器设备达标率达到100%。市疾控中心人员编制数要达到常驻人口数每万人0.9以上，各旗县区疾控中心人员编制数要达到常驻人口数每万人1.9以上且不少于25人，实现工作人员满编运行。</w:t>
            </w:r>
          </w:p>
          <w:p>
            <w:pPr>
              <w:spacing w:line="440" w:lineRule="exact"/>
              <w:ind w:firstLine="482"/>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b/>
                <w:bCs/>
                <w:color w:val="000000" w:themeColor="text1"/>
                <w:sz w:val="24"/>
                <w14:textFill>
                  <w14:solidFill>
                    <w14:schemeClr w14:val="tx1"/>
                  </w14:solidFill>
                </w14:textFill>
              </w:rPr>
              <w:t>提升疾病预防控制能力：</w:t>
            </w:r>
            <w:r>
              <w:rPr>
                <w:rFonts w:ascii="Times New Roman" w:hAnsi="Times New Roman" w:eastAsia="宋体" w:cs="Times New Roman"/>
                <w:color w:val="000000" w:themeColor="text1"/>
                <w:sz w:val="24"/>
                <w14:textFill>
                  <w14:solidFill>
                    <w14:schemeClr w14:val="tx1"/>
                  </w14:solidFill>
                </w14:textFill>
              </w:rPr>
              <w:t>市疾控中心要具备病毒培养分型、基因测序、病媒生物检测、新发传染病检测的能力，致病菌识别网建成并投入运行；各旗县区疾控中心要具备常见传染病病原体、地方病、职业病、健康危害因素检测能力，能够满足日常监测及应急处置工作需求，要具备现场检验检测、流行病学调查、应急处置等能力。</w:t>
            </w:r>
          </w:p>
          <w:p>
            <w:pPr>
              <w:spacing w:line="440" w:lineRule="exact"/>
              <w:ind w:firstLine="482"/>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b/>
                <w:bCs/>
                <w:color w:val="000000" w:themeColor="text1"/>
                <w:sz w:val="24"/>
                <w14:textFill>
                  <w14:solidFill>
                    <w14:schemeClr w14:val="tx1"/>
                  </w14:solidFill>
                </w14:textFill>
              </w:rPr>
              <w:t>精神卫生和心理健康服务能力提升：</w:t>
            </w:r>
            <w:r>
              <w:rPr>
                <w:rFonts w:ascii="Times New Roman" w:hAnsi="Times New Roman" w:eastAsia="宋体" w:cs="Times New Roman"/>
                <w:color w:val="000000" w:themeColor="text1"/>
                <w:sz w:val="24"/>
                <w14:textFill>
                  <w14:solidFill>
                    <w14:schemeClr w14:val="tx1"/>
                  </w14:solidFill>
                </w14:textFill>
              </w:rPr>
              <w:t>推行心理健康服务规范化管理，完善心理健康和精神卫生服务体系建设。各旗县区精神科医师要达到常驻人口10万分之4以上，严重精神障碍患者规范管理率达到92%以上，完成心理服务信息化平台建设工作。</w:t>
            </w:r>
          </w:p>
          <w:p>
            <w:pPr>
              <w:spacing w:line="440" w:lineRule="exact"/>
              <w:ind w:firstLine="482"/>
              <w:rPr>
                <w:rFonts w:ascii="Times New Roman" w:hAnsi="Times New Roman" w:cs="Times New Roman"/>
                <w:color w:val="000000" w:themeColor="text1"/>
                <w:sz w:val="28"/>
                <w:szCs w:val="21"/>
                <w14:textFill>
                  <w14:solidFill>
                    <w14:schemeClr w14:val="tx1"/>
                  </w14:solidFill>
                </w14:textFill>
              </w:rPr>
            </w:pPr>
            <w:r>
              <w:rPr>
                <w:rFonts w:ascii="Times New Roman" w:hAnsi="Times New Roman" w:eastAsia="宋体" w:cs="Times New Roman"/>
                <w:b/>
                <w:bCs/>
                <w:color w:val="000000" w:themeColor="text1"/>
                <w:sz w:val="24"/>
                <w14:textFill>
                  <w14:solidFill>
                    <w14:schemeClr w14:val="tx1"/>
                  </w14:solidFill>
                </w14:textFill>
              </w:rPr>
              <w:t>智慧卫监项目：</w:t>
            </w:r>
            <w:r>
              <w:rPr>
                <w:rFonts w:ascii="Times New Roman" w:hAnsi="Times New Roman" w:eastAsia="宋体" w:cs="Times New Roman"/>
                <w:color w:val="000000" w:themeColor="text1"/>
                <w:sz w:val="24"/>
                <w14:textFill>
                  <w14:solidFill>
                    <w14:schemeClr w14:val="tx1"/>
                  </w14:solidFill>
                </w14:textFill>
              </w:rPr>
              <w:t>加强卫生监督信息化建设，做好卫生执法监督信息系统的应用。做好“互联网+监管”应用，运用物联网、云计算、大数据、人工智能等技术，完成“智慧卫监”建设，以生活饮用水卫生、公共场所卫生、医疗废物监督为主，开展重点领域非现场执法和在线监督。在现场执法中，全面推行移动执法终端。</w:t>
            </w:r>
          </w:p>
        </w:tc>
      </w:tr>
    </w:tbl>
    <w:p>
      <w:pPr>
        <w:pStyle w:val="3"/>
        <w:keepNext w:val="0"/>
        <w:keepLines w:val="0"/>
        <w:adjustRightInd w:val="0"/>
        <w:spacing w:line="600" w:lineRule="exact"/>
        <w:ind w:firstLine="643"/>
        <w:rPr>
          <w:rFonts w:ascii="Times New Roman" w:hAnsi="Times New Roman" w:eastAsia="楷体_GB2312" w:cs="Times New Roman"/>
        </w:rPr>
      </w:pPr>
      <w:bookmarkStart w:id="94" w:name="_Toc110018714"/>
      <w:bookmarkStart w:id="95" w:name="_Toc119179964"/>
      <w:bookmarkStart w:id="96" w:name="_Toc110613648"/>
      <w:bookmarkStart w:id="97" w:name="_Toc102134284"/>
      <w:r>
        <w:rPr>
          <w:rFonts w:ascii="Times New Roman" w:hAnsi="Times New Roman" w:eastAsia="楷体_GB2312" w:cs="Times New Roman"/>
        </w:rPr>
        <w:t>（二）健全完善公共卫生应急管理体系</w:t>
      </w:r>
      <w:bookmarkEnd w:id="94"/>
      <w:bookmarkEnd w:id="95"/>
      <w:bookmarkEnd w:id="96"/>
      <w:bookmarkEnd w:id="97"/>
    </w:p>
    <w:p>
      <w:pPr>
        <w:adjustRightInd w:val="0"/>
        <w:spacing w:line="600" w:lineRule="exact"/>
        <w:ind w:firstLine="643"/>
        <w:rPr>
          <w:rFonts w:ascii="Times New Roman" w:hAnsi="Times New Roman" w:cs="Times New Roman"/>
          <w:color w:val="000000" w:themeColor="text1"/>
          <w:szCs w:val="32"/>
          <w14:textFill>
            <w14:solidFill>
              <w14:schemeClr w14:val="tx1"/>
            </w14:solidFill>
          </w14:textFill>
        </w:rPr>
      </w:pPr>
      <w:bookmarkStart w:id="98" w:name="_Toc110613649"/>
      <w:bookmarkStart w:id="99" w:name="_Toc119179965"/>
      <w:bookmarkStart w:id="100" w:name="_Toc102134285"/>
      <w:r>
        <w:rPr>
          <w:rStyle w:val="22"/>
          <w:rFonts w:ascii="Times New Roman" w:hAnsi="Times New Roman" w:cs="Times New Roman"/>
          <w:color w:val="000000" w:themeColor="text1"/>
          <w14:textFill>
            <w14:solidFill>
              <w14:schemeClr w14:val="tx1"/>
            </w14:solidFill>
          </w14:textFill>
        </w:rPr>
        <w:t>1、完善公共卫生监测预警机制</w:t>
      </w:r>
      <w:bookmarkEnd w:id="98"/>
      <w:bookmarkEnd w:id="99"/>
      <w:r>
        <w:rPr>
          <w:rFonts w:ascii="Times New Roman" w:hAnsi="Times New Roman" w:eastAsia="仿宋" w:cs="Times New Roman"/>
          <w:b/>
          <w:bCs/>
          <w:color w:val="000000" w:themeColor="text1"/>
          <w:szCs w:val="32"/>
          <w14:textFill>
            <w14:solidFill>
              <w14:schemeClr w14:val="tx1"/>
            </w14:solidFill>
          </w14:textFill>
        </w:rPr>
        <w:t>。</w:t>
      </w:r>
      <w:bookmarkEnd w:id="100"/>
      <w:r>
        <w:rPr>
          <w:rFonts w:ascii="Times New Roman" w:hAnsi="Times New Roman" w:cs="Times New Roman"/>
          <w:color w:val="000000" w:themeColor="text1"/>
          <w:szCs w:val="32"/>
          <w14:textFill>
            <w14:solidFill>
              <w14:schemeClr w14:val="tx1"/>
            </w14:solidFill>
          </w14:textFill>
        </w:rPr>
        <w:t>完善传染病疫情和突发公共卫生事件监测系统，构建和完善多点触发、反应快速、权威高效的监测预警体系。强化公共卫生机构和医疗机构协同监测，推进二级以上公立综合医院标准化发热门诊建设，在口岸、机场、火车站、汽车站、学校、医疗机构、药店、社区、机关企事业单位等场所建立监测哨点，提高早期监测时效性和敏感性，建立健全智慧化多渠道监测预警机制。压实信息报告责任，明确传染病疫情和突发公共卫生事件的报告内容、程序、方式和时限等具体要求。健全风险评估方法和制度，提高监测分析、综合评价和潜在隐患早期识别能力。依托公共卫生、动物疫病、口岸检疫、食品安全、生态环境等系统拓展信息报告渠道，开通社会公众主动报告渠道，探索建立完善新发未知传染病多点触发预警机制。</w:t>
      </w:r>
    </w:p>
    <w:p>
      <w:pPr>
        <w:adjustRightInd w:val="0"/>
        <w:spacing w:line="600" w:lineRule="exact"/>
        <w:ind w:firstLine="643"/>
        <w:rPr>
          <w:rFonts w:ascii="Times New Roman" w:hAnsi="Times New Roman" w:cs="Times New Roman"/>
          <w:color w:val="000000" w:themeColor="text1"/>
          <w:szCs w:val="32"/>
          <w14:textFill>
            <w14:solidFill>
              <w14:schemeClr w14:val="tx1"/>
            </w14:solidFill>
          </w14:textFill>
        </w:rPr>
      </w:pPr>
      <w:bookmarkStart w:id="101" w:name="_Toc110613650"/>
      <w:bookmarkStart w:id="102" w:name="_Toc119179966"/>
      <w:bookmarkStart w:id="103" w:name="_Toc102134286"/>
      <w:r>
        <w:rPr>
          <w:rStyle w:val="22"/>
          <w:rFonts w:ascii="Times New Roman" w:hAnsi="Times New Roman" w:cs="Times New Roman"/>
        </w:rPr>
        <w:t>2、建立医疗应急救援救治体系</w:t>
      </w:r>
      <w:bookmarkEnd w:id="101"/>
      <w:bookmarkEnd w:id="102"/>
      <w:r>
        <w:rPr>
          <w:rFonts w:ascii="Times New Roman" w:hAnsi="Times New Roman" w:eastAsia="仿宋" w:cs="Times New Roman"/>
          <w:b/>
          <w:bCs/>
          <w:color w:val="000000" w:themeColor="text1"/>
          <w:szCs w:val="32"/>
          <w14:textFill>
            <w14:solidFill>
              <w14:schemeClr w14:val="tx1"/>
            </w14:solidFill>
          </w14:textFill>
        </w:rPr>
        <w:t>。</w:t>
      </w:r>
      <w:bookmarkEnd w:id="103"/>
      <w:r>
        <w:rPr>
          <w:rFonts w:ascii="Times New Roman" w:hAnsi="Times New Roman" w:cs="Times New Roman"/>
          <w:color w:val="000000" w:themeColor="text1"/>
          <w:szCs w:val="32"/>
          <w14:textFill>
            <w14:solidFill>
              <w14:schemeClr w14:val="tx1"/>
            </w14:solidFill>
          </w14:textFill>
        </w:rPr>
        <w:t>依托市医院开展自治区级紧急医学救援基地建设，具备大批量伤员立体化转运、集中救治、救援物资保障、信息指挥联通等能力、全面提高突发事件紧急医学救援水平，推动120应急急救指挥调度信息系统与医院信息系统连接贯通，扩大“半小时救援圈”覆盖，持续完善全域一体化应急救援体系。完善院前医疗急救体系，二级以上医疗机构规范化设置急诊科。实施提升疫情防控救治能力三年行动计划，推进重大疫情救治基地、城市传染病救治网络、发热门诊和核酸检测能力等建设项目。加快市、旗县区级医院传染病病区、标准化感染性疾病科建设，提升医疗机构传染病防控救治能力。</w:t>
      </w:r>
      <w:r>
        <w:rPr>
          <w:rFonts w:ascii="Times New Roman" w:hAnsi="Times New Roman" w:cs="Times New Roman"/>
          <w:snapToGrid w:val="0"/>
          <w:color w:val="000000" w:themeColor="text1"/>
          <w:kern w:val="0"/>
          <w:szCs w:val="32"/>
          <w14:textFill>
            <w14:solidFill>
              <w14:schemeClr w14:val="tx1"/>
            </w14:solidFill>
          </w14:textFill>
        </w:rPr>
        <w:t>到2023年，市第二医院完成建筑面积14000平米，床位数150张的医院新建任务</w:t>
      </w:r>
      <w:r>
        <w:rPr>
          <w:rFonts w:ascii="Times New Roman" w:hAnsi="Times New Roman" w:cs="Times New Roman"/>
          <w:color w:val="000000" w:themeColor="text1"/>
          <w:szCs w:val="32"/>
          <w14:textFill>
            <w14:solidFill>
              <w14:schemeClr w14:val="tx1"/>
            </w14:solidFill>
          </w14:textFill>
        </w:rPr>
        <w:t>，全面提升传染病医疗救治水平，力争“十四五”末，达到三级传染病专科医院标准并通过评审验收。加强新冠肺炎定点医院、方舱医院、亚（准）定点医院建设。市本级及各旗县区定点医院床位总数原则上不少于 1000 张，重症救治床位数不少于200张；临河区按照2000张床位标准、其他旗县按照500张床位标准建设方舱医院，储存床位单元和医用物资，搭建网络信息系统，配备适宜规模医疗废物暂存区域和污水处理设备，配齐配足医护人员，确保24小时内可转为方舱医院投入使用；临河区按照不少于1000张床位标准、其他旗县按照不少于100张床位标准，对辖区内方舱医院进行提标改造，建成亚（准）定点医院，亚（准）定点医院监护床位总数不少于总床位数的10%。提升基层疫情防控和应急救治基本功能，具备条件的民营医疗机构、中心卫生院、社区卫生服务中心设立独立的发热门诊，一般乡镇卫生院和社区卫生服务站建立标准化发热诊室。推动中医药（蒙医药）融入疾病预防控制和应急救治体系，发挥中医（蒙医）防治和紧急医学救援支撑功能。</w:t>
      </w:r>
    </w:p>
    <w:p>
      <w:pPr>
        <w:adjustRightInd w:val="0"/>
        <w:spacing w:line="600" w:lineRule="exact"/>
        <w:ind w:firstLine="643"/>
        <w:rPr>
          <w:rFonts w:ascii="Times New Roman" w:hAnsi="Times New Roman" w:cs="Times New Roman"/>
          <w:color w:val="000000" w:themeColor="text1"/>
          <w:szCs w:val="32"/>
          <w14:textFill>
            <w14:solidFill>
              <w14:schemeClr w14:val="tx1"/>
            </w14:solidFill>
          </w14:textFill>
        </w:rPr>
      </w:pPr>
      <w:bookmarkStart w:id="104" w:name="_Toc119179967"/>
      <w:bookmarkStart w:id="105" w:name="_Toc110613651"/>
      <w:bookmarkStart w:id="106" w:name="_Toc102134287"/>
      <w:r>
        <w:rPr>
          <w:rStyle w:val="22"/>
          <w:rFonts w:ascii="Times New Roman" w:hAnsi="Times New Roman" w:cs="Times New Roman"/>
        </w:rPr>
        <w:t>3、完善公共卫生应急响应机制</w:t>
      </w:r>
      <w:bookmarkEnd w:id="104"/>
      <w:bookmarkEnd w:id="105"/>
      <w:r>
        <w:rPr>
          <w:rFonts w:ascii="Times New Roman" w:hAnsi="Times New Roman" w:eastAsia="仿宋" w:cs="Times New Roman"/>
          <w:b/>
          <w:bCs/>
          <w:color w:val="000000" w:themeColor="text1"/>
          <w:szCs w:val="32"/>
          <w14:textFill>
            <w14:solidFill>
              <w14:schemeClr w14:val="tx1"/>
            </w14:solidFill>
          </w14:textFill>
        </w:rPr>
        <w:t>。</w:t>
      </w:r>
      <w:bookmarkEnd w:id="106"/>
      <w:r>
        <w:rPr>
          <w:rStyle w:val="22"/>
          <w:rFonts w:ascii="Times New Roman" w:hAnsi="Times New Roman" w:cs="Times New Roman"/>
          <w:b w:val="0"/>
          <w:bCs w:val="0"/>
          <w:color w:val="000000" w:themeColor="text1"/>
          <w14:textFill>
            <w14:solidFill>
              <w14:schemeClr w14:val="tx1"/>
            </w14:solidFill>
          </w14:textFill>
        </w:rPr>
        <w:t>建立集中统一高效的传染病疫情和突发公共卫生事件应急指挥体系，完善传染病疫情和突发公共卫生事件分级应急响应机制，构建统一领导、权责匹配、权威高效的卫生应急管理格局。</w:t>
      </w:r>
      <w:r>
        <w:rPr>
          <w:rFonts w:ascii="Times New Roman" w:hAnsi="Times New Roman" w:cs="Times New Roman"/>
          <w:color w:val="000000" w:themeColor="text1"/>
          <w:szCs w:val="32"/>
          <w14:textFill>
            <w14:solidFill>
              <w14:schemeClr w14:val="tx1"/>
            </w14:solidFill>
          </w14:textFill>
        </w:rPr>
        <w:t>提升医务人员早期识别和应急处置水平，完善首诊负责、联合会诊等制度和应急处置流程，提高各级各类医疗卫生机构规范化处置能力。</w:t>
      </w:r>
      <w:r>
        <w:rPr>
          <w:rStyle w:val="22"/>
          <w:rFonts w:ascii="Times New Roman" w:hAnsi="Times New Roman" w:cs="Times New Roman"/>
          <w:b w:val="0"/>
          <w:bCs w:val="0"/>
          <w:color w:val="000000" w:themeColor="text1"/>
          <w14:textFill>
            <w14:solidFill>
              <w14:schemeClr w14:val="tx1"/>
            </w14:solidFill>
          </w14:textFill>
        </w:rPr>
        <w:t>完善重大疫情医疗废物应急处置机制</w:t>
      </w:r>
      <w:r>
        <w:rPr>
          <w:rFonts w:ascii="Times New Roman" w:hAnsi="Times New Roman" w:cs="Times New Roman"/>
          <w:color w:val="000000" w:themeColor="text1"/>
          <w:szCs w:val="32"/>
          <w14:textFill>
            <w14:solidFill>
              <w14:schemeClr w14:val="tx1"/>
            </w14:solidFill>
          </w14:textFill>
        </w:rPr>
        <w:t>。</w:t>
      </w:r>
      <w:r>
        <w:rPr>
          <w:rStyle w:val="22"/>
          <w:rFonts w:ascii="Times New Roman" w:hAnsi="Times New Roman" w:cs="Times New Roman"/>
          <w:b w:val="0"/>
          <w:bCs w:val="0"/>
          <w:color w:val="000000" w:themeColor="text1"/>
          <w14:textFill>
            <w14:solidFill>
              <w14:schemeClr w14:val="tx1"/>
            </w14:solidFill>
          </w14:textFill>
        </w:rPr>
        <w:t>建立健全分级分类的卫生应急队伍，提高紧急医学救援能力。</w:t>
      </w:r>
      <w:r>
        <w:rPr>
          <w:rFonts w:ascii="Times New Roman" w:hAnsi="Times New Roman" w:cs="Times New Roman"/>
          <w:color w:val="000000" w:themeColor="text1"/>
          <w:szCs w:val="32"/>
          <w14:textFill>
            <w14:solidFill>
              <w14:schemeClr w14:val="tx1"/>
            </w14:solidFill>
          </w14:textFill>
        </w:rPr>
        <w:t>整合全市公共卫生应急信息数据资源，建立以数字化预案为核心的应急监测、指挥、调度综合应用信息平台。</w:t>
      </w:r>
    </w:p>
    <w:p>
      <w:pPr>
        <w:adjustRightInd w:val="0"/>
        <w:spacing w:line="600" w:lineRule="exact"/>
        <w:ind w:firstLine="643"/>
        <w:rPr>
          <w:rFonts w:ascii="Times New Roman" w:hAnsi="Times New Roman" w:cs="Times New Roman"/>
          <w:color w:val="000000" w:themeColor="text1"/>
          <w:szCs w:val="32"/>
          <w14:textFill>
            <w14:solidFill>
              <w14:schemeClr w14:val="tx1"/>
            </w14:solidFill>
          </w14:textFill>
        </w:rPr>
      </w:pPr>
      <w:bookmarkStart w:id="107" w:name="_Toc119179968"/>
      <w:bookmarkStart w:id="108" w:name="_Toc110613652"/>
      <w:bookmarkStart w:id="109" w:name="_Toc102134288"/>
      <w:r>
        <w:rPr>
          <w:rStyle w:val="22"/>
          <w:rFonts w:ascii="Times New Roman" w:hAnsi="Times New Roman" w:cs="Times New Roman"/>
        </w:rPr>
        <w:t>4、加强卫生应急物资保障</w:t>
      </w:r>
      <w:bookmarkEnd w:id="107"/>
      <w:bookmarkEnd w:id="108"/>
      <w:r>
        <w:rPr>
          <w:rFonts w:ascii="Times New Roman" w:hAnsi="Times New Roman" w:eastAsia="仿宋" w:cs="Times New Roman"/>
          <w:b/>
          <w:bCs/>
          <w:color w:val="000000" w:themeColor="text1"/>
          <w:szCs w:val="32"/>
          <w14:textFill>
            <w14:solidFill>
              <w14:schemeClr w14:val="tx1"/>
            </w14:solidFill>
          </w14:textFill>
        </w:rPr>
        <w:t>。</w:t>
      </w:r>
      <w:bookmarkEnd w:id="109"/>
      <w:r>
        <w:rPr>
          <w:rFonts w:ascii="Times New Roman" w:hAnsi="Times New Roman" w:eastAsia="仿宋" w:cs="Times New Roman"/>
          <w:color w:val="000000" w:themeColor="text1"/>
          <w:szCs w:val="32"/>
          <w14:textFill>
            <w14:solidFill>
              <w14:schemeClr w14:val="tx1"/>
            </w14:solidFill>
          </w14:textFill>
        </w:rPr>
        <w:t>完善重大疫情防控物资储备和供应机制，</w:t>
      </w:r>
      <w:r>
        <w:rPr>
          <w:rFonts w:ascii="Times New Roman" w:hAnsi="Times New Roman" w:cs="Times New Roman"/>
          <w:color w:val="000000" w:themeColor="text1"/>
          <w:szCs w:val="32"/>
          <w14:textFill>
            <w14:solidFill>
              <w14:schemeClr w14:val="tx1"/>
            </w14:solidFill>
          </w14:textFill>
        </w:rPr>
        <w:t>以提升医疗卫生救治能力、应对突发公共卫生事件能力为重点，完善各类医疗防护物资、急救物资、血液、药品、医疗器械、负压救护车辆和大型医疗设备等物资储备配备计划、清单、使用管理等物资储备保障管理制度，科学制定储备目录，依托全市公共卫生应急监测指挥调度平台，分级建立完善公共卫生应急物资储备目录，合理确定各级医疗卫生机构储备规模，建立物资储备信息共享机制，统筹各级各部门物资保障资源，提高物资使用效率，构建平急结合、运转高效、科学规范的卫生应急物资保障体系。</w:t>
      </w:r>
    </w:p>
    <w:p>
      <w:pPr>
        <w:adjustRightInd w:val="0"/>
        <w:spacing w:line="600" w:lineRule="exact"/>
        <w:ind w:firstLine="643"/>
        <w:rPr>
          <w:rFonts w:ascii="Times New Roman" w:hAnsi="Times New Roman" w:cs="Times New Roman"/>
          <w:color w:val="000000" w:themeColor="text1"/>
          <w:szCs w:val="32"/>
          <w14:textFill>
            <w14:solidFill>
              <w14:schemeClr w14:val="tx1"/>
            </w14:solidFill>
          </w14:textFill>
        </w:rPr>
      </w:pPr>
      <w:bookmarkStart w:id="110" w:name="_Toc119179969"/>
      <w:bookmarkStart w:id="111" w:name="_Toc110613653"/>
      <w:bookmarkStart w:id="112" w:name="_Toc102134289"/>
      <w:r>
        <w:rPr>
          <w:rStyle w:val="22"/>
          <w:rFonts w:ascii="Times New Roman" w:hAnsi="Times New Roman" w:cs="Times New Roman"/>
        </w:rPr>
        <w:t>5、完善卫生应急预案管理</w:t>
      </w:r>
      <w:bookmarkEnd w:id="110"/>
      <w:bookmarkEnd w:id="111"/>
      <w:r>
        <w:rPr>
          <w:rFonts w:ascii="Times New Roman" w:hAnsi="Times New Roman" w:eastAsia="仿宋" w:cs="Times New Roman"/>
          <w:b/>
          <w:bCs/>
          <w:color w:val="000000" w:themeColor="text1"/>
          <w:szCs w:val="32"/>
          <w14:textFill>
            <w14:solidFill>
              <w14:schemeClr w14:val="tx1"/>
            </w14:solidFill>
          </w14:textFill>
        </w:rPr>
        <w:t>。</w:t>
      </w:r>
      <w:bookmarkEnd w:id="112"/>
      <w:r>
        <w:rPr>
          <w:rFonts w:ascii="Times New Roman" w:hAnsi="Times New Roman" w:cs="Times New Roman"/>
          <w:color w:val="000000" w:themeColor="text1"/>
          <w:szCs w:val="32"/>
          <w14:textFill>
            <w14:solidFill>
              <w14:schemeClr w14:val="tx1"/>
            </w14:solidFill>
          </w14:textFill>
        </w:rPr>
        <w:t>完善分层分类、高效实用的传染病疫情和突发公共卫生事件应急预案体系，提升预案针对性、操作性和约束性。建立全社会定期演练机制，加强针对管理人员、专业人员和社会公众的传染病疫情和突发事件应急培训和实战演练。针对传染病疫情和突发公共卫生事件、自然灾害、事故灾难和社会安全事件，开展全链条、全要素的应急实战演练。</w:t>
      </w:r>
    </w:p>
    <w:tbl>
      <w:tblPr>
        <w:tblStyle w:val="13"/>
        <w:tblW w:w="90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95" w:type="dxa"/>
            <w:vAlign w:val="center"/>
          </w:tcPr>
          <w:p>
            <w:pPr>
              <w:ind w:firstLine="0" w:firstLineChars="0"/>
              <w:jc w:val="center"/>
              <w:rPr>
                <w:rFonts w:ascii="Times New Roman" w:hAnsi="Times New Roman" w:cs="Times New Roman"/>
                <w:b/>
                <w:bCs/>
                <w:color w:val="000000" w:themeColor="text1"/>
                <w:sz w:val="28"/>
                <w:szCs w:val="21"/>
                <w14:textFill>
                  <w14:solidFill>
                    <w14:schemeClr w14:val="tx1"/>
                  </w14:solidFill>
                </w14:textFill>
              </w:rPr>
            </w:pPr>
            <w:r>
              <w:rPr>
                <w:rFonts w:ascii="Times New Roman" w:hAnsi="Times New Roman" w:cs="Times New Roman"/>
                <w:b/>
                <w:bCs/>
                <w:color w:val="000000" w:themeColor="text1"/>
                <w:sz w:val="28"/>
                <w:szCs w:val="21"/>
                <w14:textFill>
                  <w14:solidFill>
                    <w14:schemeClr w14:val="tx1"/>
                  </w14:solidFill>
                </w14:textFill>
              </w:rPr>
              <w:t>专栏2 公共卫生应急管理重大项目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9095" w:type="dxa"/>
          </w:tcPr>
          <w:p>
            <w:pPr>
              <w:spacing w:line="420" w:lineRule="exact"/>
              <w:ind w:firstLine="482"/>
              <w:rPr>
                <w:rFonts w:ascii="Times New Roman" w:hAnsi="Times New Roman" w:cs="Times New Roman" w:eastAsiaTheme="majorEastAsia"/>
                <w:color w:val="000000" w:themeColor="text1"/>
                <w:sz w:val="24"/>
                <w14:textFill>
                  <w14:solidFill>
                    <w14:schemeClr w14:val="tx1"/>
                  </w14:solidFill>
                </w14:textFill>
              </w:rPr>
            </w:pPr>
            <w:r>
              <w:rPr>
                <w:rFonts w:ascii="Times New Roman" w:hAnsi="Times New Roman" w:cs="Times New Roman" w:eastAsiaTheme="majorEastAsia"/>
                <w:b/>
                <w:bCs/>
                <w:color w:val="000000" w:themeColor="text1"/>
                <w:sz w:val="24"/>
                <w14:textFill>
                  <w14:solidFill>
                    <w14:schemeClr w14:val="tx1"/>
                  </w14:solidFill>
                </w14:textFill>
              </w:rPr>
              <w:t>新冠肺炎定点医院：</w:t>
            </w:r>
            <w:r>
              <w:rPr>
                <w:rFonts w:ascii="Times New Roman" w:hAnsi="Times New Roman" w:cs="Times New Roman" w:eastAsiaTheme="majorEastAsia"/>
                <w:color w:val="000000" w:themeColor="text1"/>
                <w:sz w:val="24"/>
                <w14:textFill>
                  <w14:solidFill>
                    <w14:schemeClr w14:val="tx1"/>
                  </w14:solidFill>
                </w14:textFill>
              </w:rPr>
              <w:t>市本级及各旗县区定点医院床位总数原则上不少于1000张，重症救治床位数不少于200张。</w:t>
            </w:r>
          </w:p>
          <w:p>
            <w:pPr>
              <w:spacing w:line="420" w:lineRule="exact"/>
              <w:ind w:firstLine="482"/>
              <w:rPr>
                <w:rFonts w:ascii="Times New Roman" w:hAnsi="Times New Roman" w:cs="Times New Roman" w:eastAsiaTheme="majorEastAsia"/>
                <w:b/>
                <w:bCs/>
                <w:color w:val="000000" w:themeColor="text1"/>
                <w:sz w:val="24"/>
                <w14:textFill>
                  <w14:solidFill>
                    <w14:schemeClr w14:val="tx1"/>
                  </w14:solidFill>
                </w14:textFill>
              </w:rPr>
            </w:pPr>
            <w:r>
              <w:rPr>
                <w:rFonts w:ascii="Times New Roman" w:hAnsi="Times New Roman" w:cs="Times New Roman" w:eastAsiaTheme="majorEastAsia"/>
                <w:b/>
                <w:bCs/>
                <w:color w:val="000000" w:themeColor="text1"/>
                <w:sz w:val="24"/>
                <w14:textFill>
                  <w14:solidFill>
                    <w14:schemeClr w14:val="tx1"/>
                  </w14:solidFill>
                </w14:textFill>
              </w:rPr>
              <w:t>旗县区方舱医院建设项目：</w:t>
            </w:r>
            <w:r>
              <w:rPr>
                <w:rFonts w:ascii="Times New Roman" w:hAnsi="Times New Roman" w:cs="Times New Roman" w:eastAsiaTheme="majorEastAsia"/>
                <w:color w:val="000000" w:themeColor="text1"/>
                <w:sz w:val="24"/>
                <w14:textFill>
                  <w14:solidFill>
                    <w14:schemeClr w14:val="tx1"/>
                  </w14:solidFill>
                </w14:textFill>
              </w:rPr>
              <w:t>每个旗县区建成至少1所达到标准的方舱医院，临河区按照2000张床位标准、其他旗县按照500张床位标准建设方舱医院。</w:t>
            </w:r>
          </w:p>
          <w:p>
            <w:pPr>
              <w:spacing w:line="420" w:lineRule="exact"/>
              <w:ind w:firstLine="482"/>
              <w:rPr>
                <w:rFonts w:ascii="Times New Roman" w:hAnsi="Times New Roman" w:cs="Times New Roman" w:eastAsiaTheme="majorEastAsia"/>
                <w:b/>
                <w:bCs/>
                <w:color w:val="000000" w:themeColor="text1"/>
                <w:sz w:val="24"/>
                <w14:textFill>
                  <w14:solidFill>
                    <w14:schemeClr w14:val="tx1"/>
                  </w14:solidFill>
                </w14:textFill>
              </w:rPr>
            </w:pPr>
            <w:r>
              <w:rPr>
                <w:rFonts w:ascii="Times New Roman" w:hAnsi="Times New Roman" w:cs="Times New Roman" w:eastAsiaTheme="majorEastAsia"/>
                <w:b/>
                <w:bCs/>
                <w:color w:val="000000" w:themeColor="text1"/>
                <w:sz w:val="24"/>
                <w14:textFill>
                  <w14:solidFill>
                    <w14:schemeClr w14:val="tx1"/>
                  </w14:solidFill>
                </w14:textFill>
              </w:rPr>
              <w:t>亚（准）定点医院：</w:t>
            </w:r>
            <w:r>
              <w:rPr>
                <w:rFonts w:ascii="Times New Roman" w:hAnsi="Times New Roman" w:cs="Times New Roman" w:eastAsiaTheme="majorEastAsia"/>
                <w:color w:val="000000" w:themeColor="text1"/>
                <w:sz w:val="24"/>
                <w14:textFill>
                  <w14:solidFill>
                    <w14:schemeClr w14:val="tx1"/>
                  </w14:solidFill>
                </w14:textFill>
              </w:rPr>
              <w:t>临河区按照不少于1000张床位标准、其他旗县按照不少于100张床位标准，对辖区内方舱医院进行提标改造，建成亚（准）定点医院，亚（准）定点医院监护床位总数不少于总床位数的10%。</w:t>
            </w:r>
          </w:p>
          <w:p>
            <w:pPr>
              <w:spacing w:line="420" w:lineRule="exact"/>
              <w:ind w:firstLine="482"/>
              <w:rPr>
                <w:rFonts w:ascii="Times New Roman" w:hAnsi="Times New Roman" w:cs="Times New Roman" w:eastAsiaTheme="majorEastAsia"/>
                <w:color w:val="000000" w:themeColor="text1"/>
                <w:sz w:val="24"/>
                <w14:textFill>
                  <w14:solidFill>
                    <w14:schemeClr w14:val="tx1"/>
                  </w14:solidFill>
                </w14:textFill>
              </w:rPr>
            </w:pPr>
            <w:r>
              <w:rPr>
                <w:rFonts w:ascii="Times New Roman" w:hAnsi="Times New Roman" w:cs="Times New Roman" w:eastAsiaTheme="majorEastAsia"/>
                <w:b/>
                <w:bCs/>
                <w:color w:val="000000" w:themeColor="text1"/>
                <w:sz w:val="24"/>
                <w14:textFill>
                  <w14:solidFill>
                    <w14:schemeClr w14:val="tx1"/>
                  </w14:solidFill>
                </w14:textFill>
              </w:rPr>
              <w:t>公共卫生应急指挥信息化建设项目：</w:t>
            </w:r>
            <w:r>
              <w:rPr>
                <w:rFonts w:ascii="Times New Roman" w:hAnsi="Times New Roman" w:cs="Times New Roman" w:eastAsiaTheme="majorEastAsia"/>
                <w:color w:val="000000" w:themeColor="text1"/>
                <w:sz w:val="24"/>
                <w14:textFill>
                  <w14:solidFill>
                    <w14:schemeClr w14:val="tx1"/>
                  </w14:solidFill>
                </w14:textFill>
              </w:rPr>
              <w:t>实施全市统一公共卫生应急监测与指挥调度信息平台建设。</w:t>
            </w:r>
          </w:p>
          <w:p>
            <w:pPr>
              <w:spacing w:line="420" w:lineRule="exact"/>
              <w:ind w:firstLine="482"/>
              <w:rPr>
                <w:rFonts w:ascii="Times New Roman" w:hAnsi="Times New Roman" w:cs="Times New Roman" w:eastAsiaTheme="majorEastAsia"/>
                <w:color w:val="000000" w:themeColor="text1"/>
                <w:spacing w:val="-4"/>
                <w:sz w:val="24"/>
                <w14:textFill>
                  <w14:solidFill>
                    <w14:schemeClr w14:val="tx1"/>
                  </w14:solidFill>
                </w14:textFill>
              </w:rPr>
            </w:pPr>
            <w:r>
              <w:rPr>
                <w:rFonts w:ascii="Times New Roman" w:hAnsi="Times New Roman" w:cs="Times New Roman" w:eastAsiaTheme="majorEastAsia"/>
                <w:b/>
                <w:bCs/>
                <w:color w:val="000000" w:themeColor="text1"/>
                <w:sz w:val="24"/>
                <w14:textFill>
                  <w14:solidFill>
                    <w14:schemeClr w14:val="tx1"/>
                  </w14:solidFill>
                </w14:textFill>
              </w:rPr>
              <w:t>巴</w:t>
            </w:r>
            <w:r>
              <w:rPr>
                <w:rFonts w:ascii="Times New Roman" w:hAnsi="Times New Roman" w:cs="Times New Roman" w:eastAsiaTheme="majorEastAsia"/>
                <w:b/>
                <w:bCs/>
                <w:color w:val="000000" w:themeColor="text1"/>
                <w:spacing w:val="-4"/>
                <w:sz w:val="24"/>
                <w14:textFill>
                  <w14:solidFill>
                    <w14:schemeClr w14:val="tx1"/>
                  </w14:solidFill>
                </w14:textFill>
              </w:rPr>
              <w:t>彦淖尔市第二医院建设项目：</w:t>
            </w:r>
            <w:r>
              <w:rPr>
                <w:rFonts w:ascii="Times New Roman" w:hAnsi="Times New Roman" w:cs="Times New Roman" w:eastAsiaTheme="majorEastAsia"/>
                <w:color w:val="000000" w:themeColor="text1"/>
                <w:spacing w:val="-4"/>
                <w:sz w:val="24"/>
                <w14:textFill>
                  <w14:solidFill>
                    <w14:schemeClr w14:val="tx1"/>
                  </w14:solidFill>
                </w14:textFill>
              </w:rPr>
              <w:t>到2023年，完成建筑面积14000平米，床位数150张的医院新建任务；力争“十四五”末，达到三级传染病专科医院标准并通过评审验收。</w:t>
            </w:r>
          </w:p>
          <w:p>
            <w:pPr>
              <w:spacing w:line="420" w:lineRule="exact"/>
              <w:ind w:firstLine="482"/>
              <w:rPr>
                <w:rFonts w:ascii="Times New Roman" w:hAnsi="Times New Roman" w:cs="Times New Roman" w:eastAsiaTheme="majorEastAsia"/>
                <w:color w:val="000000" w:themeColor="text1"/>
                <w:sz w:val="28"/>
                <w:szCs w:val="21"/>
                <w14:textFill>
                  <w14:solidFill>
                    <w14:schemeClr w14:val="tx1"/>
                  </w14:solidFill>
                </w14:textFill>
              </w:rPr>
            </w:pPr>
            <w:r>
              <w:rPr>
                <w:rFonts w:ascii="Times New Roman" w:hAnsi="Times New Roman" w:cs="Times New Roman" w:eastAsiaTheme="majorEastAsia"/>
                <w:b/>
                <w:bCs/>
                <w:color w:val="000000" w:themeColor="text1"/>
                <w:sz w:val="24"/>
                <w14:textFill>
                  <w14:solidFill>
                    <w14:schemeClr w14:val="tx1"/>
                  </w14:solidFill>
                </w14:textFill>
              </w:rPr>
              <w:t>紧急医学救援基地建设：</w:t>
            </w:r>
            <w:r>
              <w:rPr>
                <w:rFonts w:ascii="Times New Roman" w:hAnsi="Times New Roman" w:cs="Times New Roman" w:eastAsiaTheme="majorEastAsia"/>
                <w:color w:val="000000" w:themeColor="text1"/>
                <w:sz w:val="24"/>
                <w14:textFill>
                  <w14:solidFill>
                    <w14:schemeClr w14:val="tx1"/>
                  </w14:solidFill>
                </w14:textFill>
              </w:rPr>
              <w:t>依托市医院建设自治区级紧急医学救援基地。</w:t>
            </w:r>
          </w:p>
        </w:tc>
      </w:tr>
    </w:tbl>
    <w:p>
      <w:pPr>
        <w:pStyle w:val="3"/>
        <w:keepNext w:val="0"/>
        <w:keepLines w:val="0"/>
        <w:adjustRightInd w:val="0"/>
        <w:spacing w:line="600" w:lineRule="exact"/>
        <w:ind w:firstLine="643"/>
        <w:rPr>
          <w:rFonts w:ascii="Times New Roman" w:hAnsi="Times New Roman" w:eastAsia="楷体_GB2312" w:cs="Times New Roman"/>
        </w:rPr>
      </w:pPr>
      <w:bookmarkStart w:id="113" w:name="_Toc110613654"/>
      <w:bookmarkStart w:id="114" w:name="_Toc119179970"/>
      <w:bookmarkStart w:id="115" w:name="_Toc102134290"/>
      <w:bookmarkStart w:id="116" w:name="_Toc110018715"/>
      <w:r>
        <w:rPr>
          <w:rFonts w:ascii="Times New Roman" w:hAnsi="Times New Roman" w:eastAsia="楷体_GB2312" w:cs="Times New Roman"/>
        </w:rPr>
        <w:t>（三）构建高质量医疗卫生服务体系</w:t>
      </w:r>
      <w:bookmarkEnd w:id="113"/>
      <w:bookmarkEnd w:id="114"/>
      <w:bookmarkEnd w:id="115"/>
      <w:bookmarkEnd w:id="116"/>
    </w:p>
    <w:p>
      <w:pPr>
        <w:adjustRightInd w:val="0"/>
        <w:spacing w:line="600" w:lineRule="exact"/>
        <w:ind w:firstLine="640"/>
        <w:rPr>
          <w:rFonts w:ascii="Times New Roman" w:hAnsi="Times New Roman" w:cs="Times New Roman"/>
          <w:color w:val="000000" w:themeColor="text1"/>
          <w:szCs w:val="32"/>
          <w14:textFill>
            <w14:solidFill>
              <w14:schemeClr w14:val="tx1"/>
            </w14:solidFill>
          </w14:textFill>
        </w:rPr>
      </w:pPr>
      <w:r>
        <w:rPr>
          <w:rFonts w:ascii="Times New Roman" w:hAnsi="Times New Roman" w:cs="Times New Roman"/>
          <w:color w:val="000000" w:themeColor="text1"/>
          <w:szCs w:val="32"/>
          <w:shd w:val="clear" w:color="auto" w:fill="FFFFFF"/>
          <w14:textFill>
            <w14:solidFill>
              <w14:schemeClr w14:val="tx1"/>
            </w14:solidFill>
          </w14:textFill>
        </w:rPr>
        <w:t>着力扩大优质健康资源供给，促进城乡、区域间优质资源配置均衡化，中西医并重，提升疑难病症、危急重症等专科医疗服务均质化水平，做优做精市级医院，加快优质医疗资源扩容和区域均衡布局，推进国家区域医疗中心建设；提升县级医院医疗服务能力，筑牢基层服务网底，健全促进整合的分工协作机制，加快建立优质高效的医疗卫生服务体系。</w:t>
      </w:r>
    </w:p>
    <w:p>
      <w:pPr>
        <w:adjustRightInd w:val="0"/>
        <w:spacing w:line="600" w:lineRule="exact"/>
        <w:ind w:firstLine="643"/>
        <w:textAlignment w:val="baseline"/>
        <w:rPr>
          <w:rFonts w:ascii="Times New Roman" w:hAnsi="Times New Roman" w:cs="Times New Roman"/>
          <w:color w:val="000000" w:themeColor="text1"/>
          <w:szCs w:val="32"/>
          <w14:textFill>
            <w14:solidFill>
              <w14:schemeClr w14:val="tx1"/>
            </w14:solidFill>
          </w14:textFill>
        </w:rPr>
      </w:pPr>
      <w:bookmarkStart w:id="117" w:name="_Toc110613655"/>
      <w:bookmarkStart w:id="118" w:name="_Toc119179971"/>
      <w:bookmarkStart w:id="119" w:name="_Toc102134291"/>
      <w:r>
        <w:rPr>
          <w:rStyle w:val="22"/>
          <w:rFonts w:ascii="Times New Roman" w:hAnsi="Times New Roman" w:cs="Times New Roman"/>
        </w:rPr>
        <w:t>1、推进区域医疗中心建设</w:t>
      </w:r>
      <w:bookmarkEnd w:id="117"/>
      <w:bookmarkEnd w:id="118"/>
      <w:r>
        <w:rPr>
          <w:rFonts w:ascii="Times New Roman" w:hAnsi="Times New Roman" w:eastAsia="仿宋" w:cs="Times New Roman"/>
          <w:b/>
          <w:bCs/>
          <w:color w:val="000000" w:themeColor="text1"/>
          <w:szCs w:val="32"/>
          <w14:textFill>
            <w14:solidFill>
              <w14:schemeClr w14:val="tx1"/>
            </w14:solidFill>
          </w14:textFill>
        </w:rPr>
        <w:t>。</w:t>
      </w:r>
      <w:bookmarkEnd w:id="119"/>
      <w:r>
        <w:rPr>
          <w:rFonts w:ascii="Times New Roman" w:hAnsi="Times New Roman" w:cs="Times New Roman"/>
          <w:color w:val="000000" w:themeColor="text1"/>
          <w:szCs w:val="32"/>
          <w:shd w:val="clear" w:color="auto" w:fill="FFFFFF"/>
          <w14:textFill>
            <w14:solidFill>
              <w14:schemeClr w14:val="tx1"/>
            </w14:solidFill>
          </w14:textFill>
        </w:rPr>
        <w:t>对标国家高水平学科建设项目，整合市中医医院、蒙医医院等各类医疗资源，加快推进建</w:t>
      </w:r>
      <w:r>
        <w:rPr>
          <w:rFonts w:ascii="Times New Roman" w:hAnsi="Times New Roman" w:cs="Times New Roman"/>
          <w:color w:val="000000" w:themeColor="text1"/>
          <w:szCs w:val="32"/>
          <w14:textFill>
            <w14:solidFill>
              <w14:schemeClr w14:val="tx1"/>
            </w14:solidFill>
          </w14:textFill>
        </w:rPr>
        <w:t>筑面积9万平方米，总投资6.5亿元的北京中医医院内蒙古医院建设项目</w:t>
      </w:r>
      <w:r>
        <w:rPr>
          <w:rFonts w:ascii="Times New Roman" w:hAnsi="Times New Roman" w:cs="Times New Roman"/>
          <w:color w:val="000000" w:themeColor="text1"/>
          <w:szCs w:val="32"/>
          <w:shd w:val="clear" w:color="auto" w:fill="FFFFFF"/>
          <w14:textFill>
            <w14:solidFill>
              <w14:schemeClr w14:val="tx1"/>
            </w14:solidFill>
          </w14:textFill>
        </w:rPr>
        <w:t>，着力打造区域性的“医疗高地”。到2024年底完成北京中医医院内蒙古医院建设项目，并投入使用，使北京中医医院内蒙古医院相关专科能力达到国家区域中医医疗中心设置标准，同步提升区域心血管疾病、呼吸疾病、脑病诊疗水平及服务能力，推动区域内整体医疗救治能力提高，显著降低患者外转率。</w:t>
      </w:r>
    </w:p>
    <w:p>
      <w:pPr>
        <w:adjustRightInd w:val="0"/>
        <w:spacing w:line="600" w:lineRule="exact"/>
        <w:ind w:firstLine="643"/>
        <w:rPr>
          <w:rFonts w:ascii="Times New Roman" w:hAnsi="Times New Roman" w:cs="Times New Roman"/>
          <w:color w:val="000000" w:themeColor="text1"/>
          <w:szCs w:val="32"/>
          <w14:textFill>
            <w14:solidFill>
              <w14:schemeClr w14:val="tx1"/>
            </w14:solidFill>
          </w14:textFill>
        </w:rPr>
      </w:pPr>
      <w:bookmarkStart w:id="120" w:name="_Toc119179972"/>
      <w:bookmarkStart w:id="121" w:name="_Toc110613656"/>
      <w:bookmarkStart w:id="122" w:name="_Toc102134292"/>
      <w:r>
        <w:rPr>
          <w:rStyle w:val="22"/>
          <w:rFonts w:ascii="Times New Roman" w:hAnsi="Times New Roman" w:cs="Times New Roman"/>
        </w:rPr>
        <w:t>2、提高市级医院疑难危重疾病救治能力</w:t>
      </w:r>
      <w:bookmarkEnd w:id="120"/>
      <w:bookmarkEnd w:id="121"/>
      <w:r>
        <w:rPr>
          <w:rFonts w:ascii="Times New Roman" w:hAnsi="Times New Roman" w:eastAsia="仿宋" w:cs="Times New Roman"/>
          <w:b/>
          <w:bCs/>
          <w:color w:val="000000" w:themeColor="text1"/>
          <w:szCs w:val="32"/>
          <w14:textFill>
            <w14:solidFill>
              <w14:schemeClr w14:val="tx1"/>
            </w14:solidFill>
          </w14:textFill>
        </w:rPr>
        <w:t>。</w:t>
      </w:r>
      <w:bookmarkEnd w:id="122"/>
      <w:r>
        <w:rPr>
          <w:rFonts w:ascii="Times New Roman" w:hAnsi="Times New Roman" w:cs="Times New Roman"/>
          <w:color w:val="000000" w:themeColor="text1"/>
          <w:szCs w:val="32"/>
          <w14:textFill>
            <w14:solidFill>
              <w14:schemeClr w14:val="tx1"/>
            </w14:solidFill>
          </w14:textFill>
        </w:rPr>
        <w:t>市医院通过三级甲等医院复审，力争</w:t>
      </w:r>
      <w:r>
        <w:rPr>
          <w:rFonts w:ascii="Times New Roman" w:hAnsi="Times New Roman" w:cs="Times New Roman"/>
          <w:color w:val="000000" w:themeColor="text1"/>
          <w:szCs w:val="32"/>
          <w:shd w:val="clear" w:color="auto" w:fill="FFFFFF"/>
          <w14:textFill>
            <w14:solidFill>
              <w14:schemeClr w14:val="tx1"/>
            </w14:solidFill>
          </w14:textFill>
        </w:rPr>
        <w:t>三级公立医院绩效考核在全区名列前茅。</w:t>
      </w:r>
      <w:r>
        <w:rPr>
          <w:rFonts w:ascii="Times New Roman" w:hAnsi="Times New Roman" w:cs="Times New Roman"/>
          <w:color w:val="000000" w:themeColor="text1"/>
          <w:szCs w:val="32"/>
          <w14:textFill>
            <w14:solidFill>
              <w14:schemeClr w14:val="tx1"/>
            </w14:solidFill>
          </w14:textFill>
        </w:rPr>
        <w:t>发挥市级医院医疗救治主力军作用，提高市级医院技术水平，向区域内居民提供高水平的综合性或专科医疗服务，纵向形成以市带区、区社一体的多元化发展模式，组建胸痛、卒中、创伤、肿瘤、呼吸、急救等医疗中心，发展妇产科、儿科、中医科等专科联盟，推动资源优化调整，实现资源集中共享，提升疾病救治能力。</w:t>
      </w:r>
    </w:p>
    <w:p>
      <w:pPr>
        <w:adjustRightInd w:val="0"/>
        <w:spacing w:line="600" w:lineRule="exact"/>
        <w:ind w:firstLine="643"/>
        <w:rPr>
          <w:rFonts w:ascii="Times New Roman" w:hAnsi="Times New Roman" w:eastAsia="仿宋" w:cs="Times New Roman"/>
          <w:b/>
          <w:bCs/>
          <w:color w:val="000000" w:themeColor="text1"/>
          <w:szCs w:val="32"/>
          <w14:textFill>
            <w14:solidFill>
              <w14:schemeClr w14:val="tx1"/>
            </w14:solidFill>
          </w14:textFill>
        </w:rPr>
      </w:pPr>
      <w:bookmarkStart w:id="123" w:name="_Toc110613657"/>
      <w:bookmarkStart w:id="124" w:name="_Toc119179973"/>
      <w:bookmarkStart w:id="125" w:name="_Toc102134293"/>
      <w:r>
        <w:rPr>
          <w:rStyle w:val="22"/>
          <w:rFonts w:ascii="Times New Roman" w:hAnsi="Times New Roman" w:cs="Times New Roman"/>
        </w:rPr>
        <w:t>3、加快县级医院提标扩能建设</w:t>
      </w:r>
      <w:bookmarkEnd w:id="123"/>
      <w:bookmarkEnd w:id="124"/>
      <w:r>
        <w:rPr>
          <w:rFonts w:ascii="Times New Roman" w:hAnsi="Times New Roman" w:eastAsia="仿宋" w:cs="Times New Roman"/>
          <w:b/>
          <w:bCs/>
          <w:color w:val="000000" w:themeColor="text1"/>
          <w:szCs w:val="32"/>
          <w14:textFill>
            <w14:solidFill>
              <w14:schemeClr w14:val="tx1"/>
            </w14:solidFill>
          </w14:textFill>
        </w:rPr>
        <w:t>。</w:t>
      </w:r>
      <w:r>
        <w:rPr>
          <w:rFonts w:ascii="Times New Roman" w:hAnsi="Times New Roman" w:cs="Times New Roman"/>
          <w:color w:val="000000" w:themeColor="text1"/>
          <w:szCs w:val="32"/>
          <w14:textFill>
            <w14:solidFill>
              <w14:schemeClr w14:val="tx1"/>
            </w14:solidFill>
          </w14:textFill>
        </w:rPr>
        <w:t>围绕实施“千县工程”，提升旗县综合医院医疗服务能力，引入国家级和自治区优质资源，实现县级医院提标扩能，建立和加强胸痛中心、卒中中心、创伤中心、危重孕产妇救治、危重儿童和新生儿救治急诊急救五大中心建设，提高儿科、精神科、感染性疾病科等专科能力及中医综合服务能力。建设肿瘤防治、慢病管理、微创介入、麻醉疼痛诊疗、重症监护临床服务五大中心。到2025年，力争实现常住人口20万以上的旗县区人民医院达到三级综合医院水平或晋升为三级综合医院，临河区人民医院、乌拉特前旗人民医院、五原县人民医院通过三级综合医院等级评审；乌拉特前旗中蒙医院、临河妇幼保健院、乌拉特前旗妇幼保健院晋升为三级医院。</w:t>
      </w:r>
    </w:p>
    <w:bookmarkEnd w:id="125"/>
    <w:p>
      <w:pPr>
        <w:adjustRightInd w:val="0"/>
        <w:spacing w:line="600" w:lineRule="exact"/>
        <w:ind w:firstLine="643"/>
        <w:rPr>
          <w:rFonts w:ascii="Times New Roman" w:hAnsi="Times New Roman" w:cs="Times New Roman"/>
          <w:color w:val="FF0000"/>
          <w:szCs w:val="32"/>
        </w:rPr>
      </w:pPr>
      <w:bookmarkStart w:id="126" w:name="_Toc110613658"/>
      <w:bookmarkStart w:id="127" w:name="_Toc119179974"/>
      <w:bookmarkStart w:id="128" w:name="_Toc102134294"/>
      <w:r>
        <w:rPr>
          <w:rStyle w:val="22"/>
          <w:rFonts w:ascii="Times New Roman" w:hAnsi="Times New Roman" w:cs="Times New Roman"/>
        </w:rPr>
        <w:t>4、提高基层卫生机构基本医疗卫生服务能力</w:t>
      </w:r>
      <w:bookmarkEnd w:id="126"/>
      <w:bookmarkEnd w:id="127"/>
      <w:r>
        <w:rPr>
          <w:rFonts w:ascii="Times New Roman" w:hAnsi="Times New Roman" w:eastAsia="仿宋" w:cs="Times New Roman"/>
          <w:b/>
          <w:bCs/>
          <w:color w:val="000000" w:themeColor="text1"/>
          <w:szCs w:val="32"/>
          <w14:textFill>
            <w14:solidFill>
              <w14:schemeClr w14:val="tx1"/>
            </w14:solidFill>
          </w14:textFill>
        </w:rPr>
        <w:t>。</w:t>
      </w:r>
      <w:bookmarkEnd w:id="128"/>
      <w:r>
        <w:rPr>
          <w:rFonts w:ascii="Times New Roman" w:hAnsi="Times New Roman" w:cs="Times New Roman"/>
          <w:color w:val="000000" w:themeColor="text1"/>
          <w:szCs w:val="32"/>
          <w14:textFill>
            <w14:solidFill>
              <w14:schemeClr w14:val="tx1"/>
            </w14:solidFill>
          </w14:textFill>
        </w:rPr>
        <w:t>把基层医疗卫生服务体系纳入乡村振兴战略统筹推进，扩大紧密型县域医共体建设试点成果， 2025年全覆盖。不断拓展苏木乡镇卫生院和社区卫生服务中心功能，依托现有城市社区卫生服务中心或卫生院，以逐步恢复和增强医疗能力为基本目标，支持达到推荐标准的基层医疗卫生机构开展社区医院建设，到2025年，全市力争建成5所社区医院。深入开展优质服务基层行活动，提高常见病、多发病、慢性病门诊、住院服务和传染病防控能力，提高公共卫生服务、健康管理服务水平。到2025年，80%的苏木乡镇卫生院服务能力达到基本推荐标准，20%的苏木乡镇卫生院达到推荐标准。完善发展固定与流动相结合医疗服务模式，继续推进健康保障“小药箱”和流动卫生服务站建设。开展苏木乡镇卫生院和嘎查村卫生室标准化建设，推进一体化管理。到2025年，标准化率保持在95%以上。</w:t>
      </w:r>
      <w:r>
        <w:rPr>
          <w:rFonts w:ascii="Times New Roman" w:hAnsi="Times New Roman" w:eastAsia="仿宋" w:cs="Times New Roman"/>
          <w:color w:val="000000" w:themeColor="text1"/>
          <w:szCs w:val="32"/>
          <w:shd w:val="clear" w:color="auto" w:fill="FFFFFF"/>
          <w14:textFill>
            <w14:solidFill>
              <w14:schemeClr w14:val="tx1"/>
            </w14:solidFill>
          </w14:textFill>
        </w:rPr>
        <w:t>加快推动家庭医生签约服务高质量发展，</w:t>
      </w:r>
      <w:r>
        <w:rPr>
          <w:rFonts w:ascii="Times New Roman" w:hAnsi="Times New Roman" w:cs="Times New Roman"/>
          <w:color w:val="000000" w:themeColor="text1"/>
          <w:szCs w:val="32"/>
          <w14:textFill>
            <w14:solidFill>
              <w14:schemeClr w14:val="tx1"/>
            </w14:solidFill>
          </w14:textFill>
        </w:rPr>
        <w:t>多渠道扩充家庭医生服务团队，到2025年，重点人群家庭医生签约服务率达到85%，履约服务率达到95%。</w:t>
      </w:r>
    </w:p>
    <w:p>
      <w:pPr>
        <w:adjustRightInd w:val="0"/>
        <w:spacing w:line="600" w:lineRule="exact"/>
        <w:ind w:firstLine="643"/>
        <w:rPr>
          <w:rFonts w:ascii="Times New Roman" w:hAnsi="Times New Roman" w:eastAsia="仿宋" w:cs="Times New Roman"/>
          <w:b/>
          <w:bCs/>
          <w:color w:val="000000" w:themeColor="text1"/>
          <w:szCs w:val="32"/>
          <w14:textFill>
            <w14:solidFill>
              <w14:schemeClr w14:val="tx1"/>
            </w14:solidFill>
          </w14:textFill>
        </w:rPr>
      </w:pPr>
      <w:bookmarkStart w:id="129" w:name="_Toc110613659"/>
      <w:bookmarkStart w:id="130" w:name="_Toc119179975"/>
      <w:bookmarkStart w:id="131" w:name="_Toc102134295"/>
      <w:r>
        <w:rPr>
          <w:rStyle w:val="22"/>
          <w:rFonts w:ascii="Times New Roman" w:hAnsi="Times New Roman" w:cs="Times New Roman"/>
        </w:rPr>
        <w:t>5、提升医疗服务质量和安全</w:t>
      </w:r>
      <w:bookmarkEnd w:id="129"/>
      <w:bookmarkEnd w:id="130"/>
      <w:r>
        <w:rPr>
          <w:rFonts w:ascii="Times New Roman" w:hAnsi="Times New Roman" w:eastAsia="仿宋" w:cs="Times New Roman"/>
          <w:b/>
          <w:bCs/>
          <w:color w:val="000000" w:themeColor="text1"/>
          <w:szCs w:val="32"/>
          <w14:textFill>
            <w14:solidFill>
              <w14:schemeClr w14:val="tx1"/>
            </w14:solidFill>
          </w14:textFill>
        </w:rPr>
        <w:t>。</w:t>
      </w:r>
      <w:bookmarkEnd w:id="131"/>
      <w:r>
        <w:rPr>
          <w:rFonts w:ascii="Times New Roman" w:hAnsi="Times New Roman" w:cs="Times New Roman"/>
          <w:color w:val="000000" w:themeColor="text1"/>
          <w:szCs w:val="32"/>
          <w14:textFill>
            <w14:solidFill>
              <w14:schemeClr w14:val="tx1"/>
            </w14:solidFill>
          </w14:textFill>
        </w:rPr>
        <w:t>改进医疗服务流程，推进预约诊疗服务，创新便民措施，优化诊区设施布局，营造温馨就医环境。在二级以上医院全面开展临床路径管理和单病种质量控制工作，健全医疗服务监管主体，加强监管制度建设。加强院内感染控制，院内感染发生率降低到全国平均水平。加强抗菌药物管理，门诊处方抗菌药物使用率降低到10%以下。提高入出院诊断符合率，降低再住院率，30天再住院率降低到全国平均水平。提高医疗护理水平，扩大优质护理服务覆盖面，二级及以上医院100%开展优质护理服务。持续深入开展“三好一满意”活动，实施改善医疗服务行动，增强医患沟通意识和能力，及时处置医疗纠纷与投诉，健全“三调解一保险”医疗纠纷处理制度及保障机制，构建和谐医患关系，打造人文医院。建立控制不合理费用为重点的内审制度，规范医务人员医疗行为。继续实施城乡医院对口支援，推进京蒙协作项目，鼓励医师到基层多点执业，促进优质医疗资源合理流动和服务能力加快提升。继续加强病原微生物实验室标准化建设，强化实验室生物安全意识和技能培训，进一步规范高致病原微生物样本采集、运输、检测、保存及监督管理。到2025年，每个旗县区至少建成1个生物安全二级实验室。持续推进采供血事业，完善血液安全信息化管理体系，强化血液质量管理和血液调配协作机制，提高血液应急保障能力。</w:t>
      </w:r>
    </w:p>
    <w:p>
      <w:pPr>
        <w:adjustRightInd w:val="0"/>
        <w:spacing w:line="600" w:lineRule="exact"/>
        <w:ind w:firstLine="643"/>
        <w:rPr>
          <w:rFonts w:ascii="Times New Roman" w:hAnsi="Times New Roman" w:cs="Times New Roman"/>
          <w:color w:val="000000" w:themeColor="text1"/>
          <w:szCs w:val="32"/>
          <w14:textFill>
            <w14:solidFill>
              <w14:schemeClr w14:val="tx1"/>
            </w14:solidFill>
          </w14:textFill>
        </w:rPr>
      </w:pPr>
      <w:bookmarkStart w:id="132" w:name="_Toc119179976"/>
      <w:bookmarkStart w:id="133" w:name="_Toc110613660"/>
      <w:bookmarkStart w:id="134" w:name="_Toc102134296"/>
      <w:r>
        <w:rPr>
          <w:rStyle w:val="22"/>
          <w:rFonts w:ascii="Times New Roman" w:hAnsi="Times New Roman" w:cs="Times New Roman"/>
        </w:rPr>
        <w:t>6、引导多元参与，推动社会办医健康有序发展</w:t>
      </w:r>
      <w:bookmarkEnd w:id="132"/>
      <w:bookmarkEnd w:id="133"/>
      <w:r>
        <w:rPr>
          <w:rFonts w:ascii="Times New Roman" w:hAnsi="Times New Roman" w:eastAsia="仿宋" w:cs="Times New Roman"/>
          <w:b/>
          <w:bCs/>
          <w:color w:val="000000" w:themeColor="text1"/>
          <w:szCs w:val="32"/>
          <w14:textFill>
            <w14:solidFill>
              <w14:schemeClr w14:val="tx1"/>
            </w14:solidFill>
          </w14:textFill>
        </w:rPr>
        <w:t>。</w:t>
      </w:r>
      <w:r>
        <w:rPr>
          <w:rFonts w:ascii="Times New Roman" w:hAnsi="Times New Roman" w:cs="Times New Roman"/>
          <w:color w:val="000000" w:themeColor="text1"/>
          <w:szCs w:val="32"/>
          <w14:textFill>
            <w14:solidFill>
              <w14:schemeClr w14:val="tx1"/>
            </w14:solidFill>
          </w14:textFill>
        </w:rPr>
        <w:t>支持多种模式发展社会办医，加快形成以非营利性医疗机构为主体、营利性医疗机构为补充的社会办医体系。放宽社会资本举办医疗机构的准入范围，改善执业环境和政策措施，促进非公立医疗机构健康持续发展。鼓励社会力量举办规模化、差异化的医疗机构，鼓励社会资本发展提供儿科、康复、老年护理和精神卫生等基本医疗服务，投资发展相对薄弱且需求潜力大的非营利性的专科机构，不断满足群众多层次、多样化的健康服务需求。深化医师执业注册制度改革，鼓励开展多点执业，稳步推动医务人员合理流动，促进不同医疗机构之间人才的纵向和横向交流，缓解优质医疗资源不足和分布不均衡的矛盾。鼓励社会资本医疗机构参与医院等级评定，将民营医院纳入医联体，实行优质医疗资源共享。</w:t>
      </w:r>
    </w:p>
    <w:bookmarkEnd w:id="134"/>
    <w:tbl>
      <w:tblPr>
        <w:tblStyle w:val="31"/>
        <w:tblW w:w="9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165" w:type="dxa"/>
            <w:vAlign w:val="center"/>
          </w:tcPr>
          <w:p>
            <w:pPr>
              <w:ind w:firstLine="0" w:firstLineChars="0"/>
              <w:jc w:val="center"/>
              <w:rPr>
                <w:rFonts w:ascii="Times New Roman" w:hAnsi="Times New Roman" w:cs="Times New Roman"/>
                <w:b/>
                <w:bCs/>
                <w:color w:val="000000" w:themeColor="text1"/>
                <w:sz w:val="28"/>
                <w:szCs w:val="21"/>
                <w14:textFill>
                  <w14:solidFill>
                    <w14:schemeClr w14:val="tx1"/>
                  </w14:solidFill>
                </w14:textFill>
              </w:rPr>
            </w:pPr>
            <w:r>
              <w:rPr>
                <w:rFonts w:ascii="Times New Roman" w:hAnsi="Times New Roman" w:cs="Times New Roman"/>
                <w:b/>
                <w:bCs/>
                <w:color w:val="000000" w:themeColor="text1"/>
                <w:sz w:val="28"/>
                <w:szCs w:val="21"/>
                <w14:textFill>
                  <w14:solidFill>
                    <w14:schemeClr w14:val="tx1"/>
                  </w14:solidFill>
                </w14:textFill>
              </w:rPr>
              <w:t>专栏3 高质量医疗卫生服务重大项目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8" w:hRule="atLeast"/>
        </w:trPr>
        <w:tc>
          <w:tcPr>
            <w:tcW w:w="9165" w:type="dxa"/>
          </w:tcPr>
          <w:p>
            <w:pPr>
              <w:spacing w:line="420" w:lineRule="exact"/>
              <w:ind w:firstLine="480"/>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实施北京中医医院内蒙古医院建设（国家区域医疗中心）项目，乌拉特后旗医院传染病区建设项目，杭锦后旗医院新建门诊大楼建设项目，五原县人民医院升级搬迁建设项目</w:t>
            </w:r>
          </w:p>
          <w:p>
            <w:pPr>
              <w:spacing w:line="420" w:lineRule="exact"/>
              <w:ind w:firstLine="480"/>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各旗县区综合医院达到二级甲等标准，临河区、乌拉特前旗、五原县人民医院创建为三级医院，乌拉特前旗中蒙医院、临河妇幼保健院、乌拉特前旗妇幼保健院晋升为三级医院。</w:t>
            </w:r>
          </w:p>
          <w:p>
            <w:pPr>
              <w:spacing w:line="420" w:lineRule="exact"/>
              <w:ind w:firstLine="480"/>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二级及以上医院100%开展优质护理服务</w:t>
            </w:r>
          </w:p>
          <w:p>
            <w:pPr>
              <w:spacing w:line="420" w:lineRule="exact"/>
              <w:ind w:firstLine="480"/>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每个旗县区至少建成1个生物安全二级水平的实验室</w:t>
            </w:r>
          </w:p>
          <w:p>
            <w:pPr>
              <w:spacing w:line="420" w:lineRule="exact"/>
              <w:ind w:firstLine="480"/>
              <w:rPr>
                <w:rFonts w:ascii="Times New Roman" w:hAnsi="Times New Roman" w:eastAsia="宋体" w:cs="Times New Roman"/>
                <w:color w:val="000000" w:themeColor="text1"/>
                <w:sz w:val="28"/>
                <w:szCs w:val="21"/>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基层医疗卫生机构95%达到标准化建设</w:t>
            </w:r>
          </w:p>
        </w:tc>
      </w:tr>
    </w:tbl>
    <w:p>
      <w:pPr>
        <w:pStyle w:val="3"/>
        <w:keepNext w:val="0"/>
        <w:keepLines w:val="0"/>
        <w:adjustRightInd w:val="0"/>
        <w:spacing w:line="600" w:lineRule="exact"/>
        <w:ind w:firstLine="643"/>
        <w:rPr>
          <w:rFonts w:ascii="Times New Roman" w:hAnsi="Times New Roman" w:eastAsia="楷体_GB2312" w:cs="Times New Roman"/>
        </w:rPr>
      </w:pPr>
      <w:bookmarkStart w:id="135" w:name="_Toc110018716"/>
      <w:bookmarkStart w:id="136" w:name="_Toc102134297"/>
      <w:bookmarkStart w:id="137" w:name="_Toc110613661"/>
      <w:bookmarkStart w:id="138" w:name="_Toc119179977"/>
      <w:r>
        <w:rPr>
          <w:rFonts w:ascii="Times New Roman" w:hAnsi="Times New Roman" w:eastAsia="楷体_GB2312" w:cs="Times New Roman"/>
        </w:rPr>
        <w:t>（四）构建中医药（蒙医药）传承创新发展体系</w:t>
      </w:r>
      <w:bookmarkEnd w:id="135"/>
      <w:bookmarkEnd w:id="136"/>
      <w:bookmarkEnd w:id="137"/>
      <w:bookmarkEnd w:id="138"/>
    </w:p>
    <w:p>
      <w:pPr>
        <w:adjustRightInd w:val="0"/>
        <w:spacing w:line="600" w:lineRule="exact"/>
        <w:ind w:firstLine="643"/>
        <w:rPr>
          <w:rFonts w:ascii="Times New Roman" w:hAnsi="Times New Roman" w:cs="Times New Roman"/>
          <w:color w:val="000000" w:themeColor="text1"/>
          <w:szCs w:val="32"/>
          <w14:textFill>
            <w14:solidFill>
              <w14:schemeClr w14:val="tx1"/>
            </w14:solidFill>
          </w14:textFill>
        </w:rPr>
      </w:pPr>
      <w:bookmarkStart w:id="139" w:name="_Toc119179978"/>
      <w:bookmarkStart w:id="140" w:name="_Toc110613662"/>
      <w:bookmarkStart w:id="141" w:name="_Toc102134298"/>
      <w:r>
        <w:rPr>
          <w:rStyle w:val="22"/>
          <w:rFonts w:ascii="Times New Roman" w:hAnsi="Times New Roman" w:cs="Times New Roman"/>
        </w:rPr>
        <w:t>1、健全中医药（蒙医药）服务体系</w:t>
      </w:r>
      <w:bookmarkEnd w:id="139"/>
      <w:bookmarkEnd w:id="140"/>
      <w:r>
        <w:rPr>
          <w:rFonts w:ascii="Times New Roman" w:hAnsi="Times New Roman" w:eastAsia="仿宋" w:cs="Times New Roman"/>
          <w:b/>
          <w:bCs/>
          <w:color w:val="000000" w:themeColor="text1"/>
          <w:szCs w:val="32"/>
          <w14:textFill>
            <w14:solidFill>
              <w14:schemeClr w14:val="tx1"/>
            </w14:solidFill>
          </w14:textFill>
        </w:rPr>
        <w:t>。</w:t>
      </w:r>
      <w:bookmarkEnd w:id="141"/>
      <w:r>
        <w:rPr>
          <w:rFonts w:ascii="Times New Roman" w:hAnsi="Times New Roman" w:cs="Times New Roman"/>
          <w:color w:val="000000" w:themeColor="text1"/>
          <w:szCs w:val="32"/>
          <w14:textFill>
            <w14:solidFill>
              <w14:schemeClr w14:val="tx1"/>
            </w14:solidFill>
          </w14:textFill>
        </w:rPr>
        <w:t>合理确定中医（蒙医）机构规模和功能，推动中医药（蒙医药）资源合理配置，完善市、旗县区、苏木乡镇和嘎查村各级医疗机构为载体的多层次中医药（蒙医药）医疗服务网络。优化配置中医（蒙医）资源，加大基础设施建设力度。推进中医（蒙医）远程医疗协作网建设，完善远程会诊、远程教学功能。市中医医院、市蒙医医院牵头组建紧密型医疗集团、专科联盟，各旗县区中医（蒙医）医院牵头组建区域医共体，并建立起符合中医（蒙医）特点的工作机制。各旗县区全部建成全国中医药工作示范县，制定完善慢性病、常见病中医（蒙医）分级诊疗方案。</w:t>
      </w:r>
    </w:p>
    <w:p>
      <w:pPr>
        <w:adjustRightInd w:val="0"/>
        <w:spacing w:line="600" w:lineRule="exact"/>
        <w:ind w:firstLine="643"/>
        <w:rPr>
          <w:rFonts w:ascii="Times New Roman" w:hAnsi="Times New Roman" w:cs="Times New Roman"/>
          <w:color w:val="000000" w:themeColor="text1"/>
          <w:szCs w:val="32"/>
          <w14:textFill>
            <w14:solidFill>
              <w14:schemeClr w14:val="tx1"/>
            </w14:solidFill>
          </w14:textFill>
        </w:rPr>
      </w:pPr>
      <w:bookmarkStart w:id="142" w:name="_Toc119179979"/>
      <w:bookmarkStart w:id="143" w:name="_Toc110613663"/>
      <w:bookmarkStart w:id="144" w:name="_Toc102134299"/>
      <w:r>
        <w:rPr>
          <w:rStyle w:val="22"/>
          <w:rFonts w:ascii="Times New Roman" w:hAnsi="Times New Roman" w:cs="Times New Roman"/>
        </w:rPr>
        <w:t>2、提升中医（蒙医）综合服务能力</w:t>
      </w:r>
      <w:bookmarkEnd w:id="142"/>
      <w:bookmarkEnd w:id="143"/>
      <w:r>
        <w:rPr>
          <w:rFonts w:ascii="Times New Roman" w:hAnsi="Times New Roman" w:eastAsia="仿宋" w:cs="Times New Roman"/>
          <w:b/>
          <w:bCs/>
          <w:color w:val="000000" w:themeColor="text1"/>
          <w:szCs w:val="32"/>
          <w14:textFill>
            <w14:solidFill>
              <w14:schemeClr w14:val="tx1"/>
            </w14:solidFill>
          </w14:textFill>
        </w:rPr>
        <w:t>。</w:t>
      </w:r>
      <w:bookmarkEnd w:id="144"/>
      <w:bookmarkStart w:id="145" w:name="_Toc102134300"/>
      <w:r>
        <w:rPr>
          <w:rFonts w:ascii="Times New Roman" w:hAnsi="Times New Roman" w:cs="Times New Roman"/>
          <w:color w:val="000000" w:themeColor="text1"/>
          <w:szCs w:val="32"/>
          <w14:textFill>
            <w14:solidFill>
              <w14:schemeClr w14:val="tx1"/>
            </w14:solidFill>
          </w14:textFill>
        </w:rPr>
        <w:t>乌拉特前旗中蒙医院达到三级水平，其它各旗县区中医（蒙医）医院全部达到二级甲等水平。按照临床需求合理规划建设市级中医（蒙医）医院标准化制剂中心，依法依规调剂中药（蒙药）制剂。持续推进中医药（蒙医药）、名院、名科、名医工程，打造一批中医（蒙医）名院、名科、名医。加强中医（蒙医）临床科室和中药（蒙药）房建设，加强临床协作，整合资源、强强联合、优势互补、协同协作，提高重大疑难病、急危重症临床疗效。</w:t>
      </w:r>
    </w:p>
    <w:p>
      <w:pPr>
        <w:adjustRightInd w:val="0"/>
        <w:spacing w:line="600" w:lineRule="exact"/>
        <w:ind w:firstLine="643"/>
        <w:rPr>
          <w:rFonts w:ascii="Times New Roman" w:hAnsi="Times New Roman" w:cs="Times New Roman"/>
          <w:color w:val="000000" w:themeColor="text1"/>
          <w:szCs w:val="32"/>
          <w14:textFill>
            <w14:solidFill>
              <w14:schemeClr w14:val="tx1"/>
            </w14:solidFill>
          </w14:textFill>
        </w:rPr>
      </w:pPr>
      <w:bookmarkStart w:id="146" w:name="_Toc110613664"/>
      <w:bookmarkStart w:id="147" w:name="_Toc119179980"/>
      <w:r>
        <w:rPr>
          <w:rStyle w:val="22"/>
          <w:rFonts w:ascii="Times New Roman" w:hAnsi="Times New Roman" w:cs="Times New Roman"/>
        </w:rPr>
        <w:t>3、推进中医药（蒙医药）传承创新</w:t>
      </w:r>
      <w:bookmarkEnd w:id="146"/>
      <w:bookmarkEnd w:id="147"/>
      <w:r>
        <w:rPr>
          <w:rFonts w:ascii="Times New Roman" w:hAnsi="Times New Roman" w:eastAsia="仿宋" w:cs="Times New Roman"/>
          <w:b/>
          <w:bCs/>
          <w:color w:val="000000" w:themeColor="text1"/>
          <w:szCs w:val="32"/>
          <w14:textFill>
            <w14:solidFill>
              <w14:schemeClr w14:val="tx1"/>
            </w14:solidFill>
          </w14:textFill>
        </w:rPr>
        <w:t>。</w:t>
      </w:r>
      <w:bookmarkEnd w:id="145"/>
      <w:r>
        <w:rPr>
          <w:rFonts w:ascii="Times New Roman" w:hAnsi="Times New Roman" w:cs="Times New Roman"/>
          <w:color w:val="000000" w:themeColor="text1"/>
          <w:szCs w:val="32"/>
          <w14:textFill>
            <w14:solidFill>
              <w14:schemeClr w14:val="tx1"/>
            </w14:solidFill>
          </w14:textFill>
        </w:rPr>
        <w:t>加强以中医（蒙医）特色优势重点专科专病为基础的相关业务用房建设，优化功能布局，改善诊疗环境，强化设施设备配置。市中医医院打造心病科、脑病科、呼吸科、康复科国家级重点专科，重点提高中医（蒙医）特色优势专科服务能力，大力培养学科带头人和骨干人才，加强中医（蒙医）临床研究基地和科研机构建设，加强中医药（蒙医药）特色传统疗法、具有鲜明地域特征的民间特色传统疗法挖掘、整理与保护。推进中医（蒙医）标准化建设工作。推进中医（蒙医）全科医师和住院医师规范化培训基地建设。加快中医药（蒙医药）科技进步，推广中医药（蒙医药）标准和适宜技术，加强各类各层次中医药（蒙医药）人才培养。总结优势病种诊疗方案和临床路径并推广使用，名老中医（蒙医）传承工作室培养一批传承名医经验、掌握传统思维、诊疗技术强的中医药（蒙医药）骨干力量。</w:t>
      </w:r>
    </w:p>
    <w:tbl>
      <w:tblPr>
        <w:tblStyle w:val="34"/>
        <w:tblW w:w="91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123" w:type="dxa"/>
            <w:vAlign w:val="center"/>
          </w:tcPr>
          <w:p>
            <w:pPr>
              <w:ind w:firstLine="0" w:firstLineChars="0"/>
              <w:jc w:val="center"/>
              <w:rPr>
                <w:rFonts w:ascii="Times New Roman" w:hAnsi="Times New Roman" w:cs="Times New Roman"/>
                <w:b/>
                <w:bCs/>
                <w:color w:val="000000" w:themeColor="text1"/>
                <w:sz w:val="28"/>
                <w:szCs w:val="21"/>
                <w14:textFill>
                  <w14:solidFill>
                    <w14:schemeClr w14:val="tx1"/>
                  </w14:solidFill>
                </w14:textFill>
              </w:rPr>
            </w:pPr>
            <w:r>
              <w:rPr>
                <w:rFonts w:ascii="Times New Roman" w:hAnsi="Times New Roman" w:cs="Times New Roman"/>
                <w:b/>
                <w:bCs/>
                <w:color w:val="000000" w:themeColor="text1"/>
                <w:sz w:val="28"/>
                <w:szCs w:val="21"/>
                <w14:textFill>
                  <w14:solidFill>
                    <w14:schemeClr w14:val="tx1"/>
                  </w14:solidFill>
                </w14:textFill>
              </w:rPr>
              <w:t>专栏4中医药（蒙医药）传承创新发展重大项目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0" w:hRule="atLeast"/>
        </w:trPr>
        <w:tc>
          <w:tcPr>
            <w:tcW w:w="9123" w:type="dxa"/>
          </w:tcPr>
          <w:p>
            <w:pPr>
              <w:spacing w:line="460" w:lineRule="exact"/>
              <w:ind w:firstLine="480"/>
              <w:rPr>
                <w:rFonts w:ascii="Times New Roman" w:hAnsi="Times New Roman" w:cs="Times New Roman" w:eastAsiaTheme="majorEastAsia"/>
                <w:sz w:val="24"/>
              </w:rPr>
            </w:pPr>
            <w:r>
              <w:rPr>
                <w:rFonts w:ascii="Times New Roman" w:hAnsi="Times New Roman" w:cs="Times New Roman" w:eastAsiaTheme="majorEastAsia"/>
                <w:sz w:val="24"/>
              </w:rPr>
              <w:t>加快推进北京中医医院内蒙古医院建设项目；市中医医院打造心病科、脑病科、呼吸科、康复科国家级重点专科；</w:t>
            </w:r>
          </w:p>
          <w:p>
            <w:pPr>
              <w:spacing w:line="460" w:lineRule="exact"/>
              <w:ind w:firstLine="480"/>
              <w:rPr>
                <w:rFonts w:ascii="Times New Roman" w:hAnsi="Times New Roman" w:cs="Times New Roman" w:eastAsiaTheme="majorEastAsia"/>
                <w:sz w:val="24"/>
              </w:rPr>
            </w:pPr>
            <w:r>
              <w:rPr>
                <w:rFonts w:ascii="Times New Roman" w:hAnsi="Times New Roman" w:cs="Times New Roman" w:eastAsiaTheme="majorEastAsia"/>
                <w:sz w:val="24"/>
              </w:rPr>
              <w:t>乌拉特前旗中蒙医院创建为三级甲等医院；各旗县区中医（蒙医）医院创建为二级甲等医院；</w:t>
            </w:r>
          </w:p>
          <w:p>
            <w:pPr>
              <w:spacing w:line="460" w:lineRule="exact"/>
              <w:ind w:firstLine="480"/>
              <w:rPr>
                <w:rFonts w:ascii="Times New Roman" w:hAnsi="Times New Roman" w:cs="Times New Roman" w:eastAsiaTheme="majorEastAsia"/>
                <w:color w:val="000000" w:themeColor="text1"/>
                <w:sz w:val="24"/>
                <w14:textFill>
                  <w14:solidFill>
                    <w14:schemeClr w14:val="tx1"/>
                  </w14:solidFill>
                </w14:textFill>
              </w:rPr>
            </w:pPr>
            <w:r>
              <w:rPr>
                <w:rFonts w:ascii="Times New Roman" w:hAnsi="Times New Roman" w:cs="Times New Roman" w:eastAsiaTheme="majorEastAsia"/>
                <w:sz w:val="24"/>
              </w:rPr>
              <w:t>市中医医院建成特色康复示范中心，乌拉特后旗蒙医医院建成康复技术推广中心；每个旗县区建设1-2个名医堂。</w:t>
            </w:r>
          </w:p>
        </w:tc>
      </w:tr>
    </w:tbl>
    <w:p>
      <w:pPr>
        <w:pStyle w:val="3"/>
        <w:keepNext w:val="0"/>
        <w:keepLines w:val="0"/>
        <w:adjustRightInd w:val="0"/>
        <w:spacing w:line="600" w:lineRule="exact"/>
        <w:ind w:firstLine="643"/>
        <w:rPr>
          <w:rFonts w:ascii="Times New Roman" w:hAnsi="Times New Roman" w:eastAsia="楷体_GB2312" w:cs="Times New Roman"/>
        </w:rPr>
      </w:pPr>
      <w:bookmarkStart w:id="148" w:name="_Toc102134301"/>
      <w:bookmarkStart w:id="149" w:name="_Toc110018717"/>
      <w:bookmarkStart w:id="150" w:name="_Toc110613665"/>
      <w:bookmarkStart w:id="151" w:name="_Toc119179981"/>
      <w:bookmarkStart w:id="152" w:name="_Toc102134311"/>
      <w:r>
        <w:rPr>
          <w:rFonts w:ascii="Times New Roman" w:hAnsi="Times New Roman" w:eastAsia="楷体_GB2312" w:cs="Times New Roman"/>
        </w:rPr>
        <w:t>（五）构建全生命周期健康服务体系</w:t>
      </w:r>
      <w:bookmarkEnd w:id="148"/>
      <w:bookmarkEnd w:id="149"/>
      <w:bookmarkEnd w:id="150"/>
      <w:bookmarkEnd w:id="151"/>
    </w:p>
    <w:p>
      <w:pPr>
        <w:widowControl/>
        <w:adjustRightInd w:val="0"/>
        <w:spacing w:line="600" w:lineRule="exact"/>
        <w:ind w:firstLine="643"/>
        <w:rPr>
          <w:rFonts w:ascii="Times New Roman" w:hAnsi="Times New Roman" w:cs="Times New Roman"/>
          <w:color w:val="000000" w:themeColor="text1"/>
          <w:szCs w:val="32"/>
          <w14:textFill>
            <w14:solidFill>
              <w14:schemeClr w14:val="tx1"/>
            </w14:solidFill>
          </w14:textFill>
        </w:rPr>
      </w:pPr>
      <w:bookmarkStart w:id="153" w:name="_Toc110613666"/>
      <w:bookmarkStart w:id="154" w:name="_Toc119179982"/>
      <w:bookmarkStart w:id="155" w:name="_Toc102134302"/>
      <w:r>
        <w:rPr>
          <w:rStyle w:val="22"/>
          <w:rFonts w:ascii="Times New Roman" w:hAnsi="Times New Roman" w:cs="Times New Roman"/>
        </w:rPr>
        <w:t>1、深入推进“健康巴彦淖尔”行动</w:t>
      </w:r>
      <w:bookmarkEnd w:id="153"/>
      <w:bookmarkEnd w:id="154"/>
      <w:r>
        <w:rPr>
          <w:rFonts w:ascii="Times New Roman" w:hAnsi="Times New Roman" w:eastAsia="仿宋" w:cs="Times New Roman"/>
          <w:b/>
          <w:bCs/>
          <w:color w:val="000000" w:themeColor="text1"/>
          <w:szCs w:val="32"/>
          <w14:textFill>
            <w14:solidFill>
              <w14:schemeClr w14:val="tx1"/>
            </w14:solidFill>
          </w14:textFill>
        </w:rPr>
        <w:t>。</w:t>
      </w:r>
      <w:bookmarkEnd w:id="155"/>
      <w:r>
        <w:rPr>
          <w:rFonts w:ascii="Times New Roman" w:hAnsi="Times New Roman" w:cs="Times New Roman"/>
          <w:color w:val="000000" w:themeColor="text1"/>
          <w:szCs w:val="32"/>
          <w14:textFill>
            <w14:solidFill>
              <w14:schemeClr w14:val="tx1"/>
            </w14:solidFill>
          </w14:textFill>
        </w:rPr>
        <w:t>坚持以人民为中心的发展思想，强化政府、社会和个人的健康责任，健全预防为主的制度体系，完善健康促进政策，全方位干预健康影响因素，推动从以治病为中心向以人民健康为中心转变。强化“健康巴彦淖尔”行动的监测评估和指标考核，畅通部门联合、联动工作机制，加快推进健康知识普及、合理膳食、全民健身、控烟、心理健康促进、健康环境促进、妇幼健康促进、中小学健康促进、职业健康保护、老年健康促进、心脑血管疾病防治、癌症防治、慢性呼吸系统疾病防治、糖尿病防治、传染病及地方病防控、中医药（蒙医药）振兴、全民健康信息化等17个专项行动扎实开展。健全完善癌症防控体系，成立巴彦淖尔市癌症防治中心，加强癌症防治能力建设，全方位推进癌症防治工作，有效提升癌症筛查、早诊早治和规范诊疗水平；以“三高”共管试点和项目工作为依托，大力推进心脑血管疾病防治行动，扎实做好高危人群管理以及风险评估和技术指导；推进慢性呼吸系统疾病防治行动，将肺功能检查纳入40岁及以上人群常规体检内容，提升基层慢性呼吸系统疾病防控能力和水平；推进儿童青少年近视综合防控、肥胖干预、心理健康、脊柱侧弯、学校传染病防控等学校卫生健康工作，儿童青少年总体近视率每年下降0.5个百分点。完善食品安全风险监测与评估工作体系，提高食品安全标准和风险监测评估能力，全面提升实验室检测和流调溯源能力；积极推进国民营养计划和合理膳食行动，全面提升市民营养素质。引导群众树立正确健康观，加强早期干预，形成有利于健康的生活方式、生态环境和社会环境，延长健康寿命。到2025年，</w:t>
      </w:r>
      <w:r>
        <w:rPr>
          <w:rFonts w:ascii="Times New Roman" w:hAnsi="Times New Roman" w:cs="Times New Roman"/>
          <w:color w:val="000000" w:themeColor="text1"/>
          <w:kern w:val="0"/>
          <w:szCs w:val="32"/>
          <w14:textFill>
            <w14:solidFill>
              <w14:schemeClr w14:val="tx1"/>
            </w14:solidFill>
          </w14:textFill>
        </w:rPr>
        <w:t>居民健康素养水平达到25%以上。</w:t>
      </w:r>
    </w:p>
    <w:p>
      <w:pPr>
        <w:adjustRightInd w:val="0"/>
        <w:spacing w:line="600" w:lineRule="exact"/>
        <w:ind w:firstLine="643"/>
        <w:rPr>
          <w:rFonts w:ascii="Times New Roman" w:hAnsi="Times New Roman" w:eastAsia="仿宋" w:cs="Times New Roman"/>
          <w:color w:val="000000" w:themeColor="text1"/>
          <w:szCs w:val="32"/>
          <w14:textFill>
            <w14:solidFill>
              <w14:schemeClr w14:val="tx1"/>
            </w14:solidFill>
          </w14:textFill>
        </w:rPr>
      </w:pPr>
      <w:bookmarkStart w:id="156" w:name="_Toc119179983"/>
      <w:bookmarkStart w:id="157" w:name="_Toc110613667"/>
      <w:r>
        <w:rPr>
          <w:rStyle w:val="22"/>
          <w:rFonts w:ascii="Times New Roman" w:hAnsi="Times New Roman" w:cs="Times New Roman"/>
        </w:rPr>
        <w:t>2、加强居民健康教育</w:t>
      </w:r>
      <w:bookmarkEnd w:id="156"/>
      <w:bookmarkEnd w:id="157"/>
      <w:r>
        <w:rPr>
          <w:rFonts w:ascii="Times New Roman" w:hAnsi="Times New Roman" w:cs="Times New Roman"/>
          <w:b/>
          <w:color w:val="000000" w:themeColor="text1"/>
          <w:szCs w:val="32"/>
          <w:shd w:val="clear" w:color="auto" w:fill="FFFFFF"/>
          <w14:textFill>
            <w14:solidFill>
              <w14:schemeClr w14:val="tx1"/>
            </w14:solidFill>
          </w14:textFill>
        </w:rPr>
        <w:t>。</w:t>
      </w:r>
      <w:r>
        <w:rPr>
          <w:rFonts w:ascii="Times New Roman" w:hAnsi="Times New Roman" w:cs="Times New Roman"/>
          <w:color w:val="000000" w:themeColor="text1"/>
          <w:szCs w:val="32"/>
          <w:shd w:val="clear" w:color="auto" w:fill="FFFFFF"/>
          <w14:textFill>
            <w14:solidFill>
              <w14:schemeClr w14:val="tx1"/>
            </w14:solidFill>
          </w14:textFill>
        </w:rPr>
        <w:t>推广普及文明健康绿色环保生活方式，以提高居民健康素养为核心，完善健康教育工作机制，加强健康教育队伍服务能力建设。深入开展全民健康素养促进行动。推进健康促进旗县区建设，创建健康促进医院、健康促进学校。</w:t>
      </w:r>
      <w:r>
        <w:rPr>
          <w:rFonts w:ascii="Times New Roman" w:hAnsi="Times New Roman" w:cs="Times New Roman"/>
          <w:color w:val="000000" w:themeColor="text1"/>
          <w:szCs w:val="32"/>
          <w14:textFill>
            <w14:solidFill>
              <w14:schemeClr w14:val="tx1"/>
            </w14:solidFill>
          </w14:textFill>
        </w:rPr>
        <w:t>推进国民营养计划和合理膳食行动，以“全民营养周”等主题宣传活动为重点，强化宣传教育引导，大力推进营养健康餐厅、营养健康食堂建设，全面提升国民营养素质。</w:t>
      </w:r>
    </w:p>
    <w:p>
      <w:pPr>
        <w:adjustRightInd w:val="0"/>
        <w:spacing w:line="600" w:lineRule="exact"/>
        <w:ind w:firstLine="643"/>
        <w:rPr>
          <w:rFonts w:ascii="Times New Roman" w:hAnsi="Times New Roman" w:cs="Times New Roman"/>
          <w:color w:val="000000" w:themeColor="text1"/>
          <w:szCs w:val="32"/>
          <w14:textFill>
            <w14:solidFill>
              <w14:schemeClr w14:val="tx1"/>
            </w14:solidFill>
          </w14:textFill>
        </w:rPr>
      </w:pPr>
      <w:bookmarkStart w:id="158" w:name="_Toc110613668"/>
      <w:bookmarkStart w:id="159" w:name="_Toc119179984"/>
      <w:bookmarkStart w:id="160" w:name="_Toc102134303"/>
      <w:r>
        <w:rPr>
          <w:rStyle w:val="22"/>
          <w:rFonts w:ascii="Times New Roman" w:hAnsi="Times New Roman" w:cs="Times New Roman"/>
        </w:rPr>
        <w:t>3、深入开展爱国卫生运动</w:t>
      </w:r>
      <w:bookmarkEnd w:id="158"/>
      <w:bookmarkEnd w:id="159"/>
      <w:r>
        <w:rPr>
          <w:rFonts w:ascii="Times New Roman" w:hAnsi="Times New Roman" w:eastAsia="仿宋" w:cs="Times New Roman"/>
          <w:b/>
          <w:bCs/>
          <w:color w:val="000000" w:themeColor="text1"/>
          <w:szCs w:val="32"/>
          <w14:textFill>
            <w14:solidFill>
              <w14:schemeClr w14:val="tx1"/>
            </w14:solidFill>
          </w14:textFill>
        </w:rPr>
        <w:t>。</w:t>
      </w:r>
      <w:bookmarkEnd w:id="160"/>
      <w:r>
        <w:rPr>
          <w:rFonts w:ascii="Times New Roman" w:hAnsi="Times New Roman" w:cs="Times New Roman"/>
          <w:color w:val="000000" w:themeColor="text1"/>
          <w:szCs w:val="32"/>
          <w14:textFill>
            <w14:solidFill>
              <w14:schemeClr w14:val="tx1"/>
            </w14:solidFill>
          </w14:textFill>
        </w:rPr>
        <w:t>全面开展城乡环境卫生综合治理，把健康融入城乡规划、建设、治理全过程，加强环境卫生基础设施建设，促进城市与人民健康协调发展。积极推进控烟工作。建立环境与健康风险评估制度和科学、有效、可操作的指标评价体系，巩固卫生城镇创建成果，推进健康城镇发展不断延伸。到2025年，临河区建成“健康示范城市”，其它旗县区及各苏木乡镇所在地50%的城（镇）区建成“健康示范城镇（社区）”。</w:t>
      </w:r>
    </w:p>
    <w:p>
      <w:pPr>
        <w:adjustRightInd w:val="0"/>
        <w:spacing w:line="600" w:lineRule="exact"/>
        <w:ind w:firstLine="643"/>
        <w:rPr>
          <w:rFonts w:ascii="Times New Roman" w:hAnsi="Times New Roman" w:cs="Times New Roman"/>
          <w:color w:val="000000" w:themeColor="text1"/>
          <w:szCs w:val="32"/>
          <w14:textFill>
            <w14:solidFill>
              <w14:schemeClr w14:val="tx1"/>
            </w14:solidFill>
          </w14:textFill>
        </w:rPr>
      </w:pPr>
      <w:bookmarkStart w:id="161" w:name="_Toc110613669"/>
      <w:bookmarkStart w:id="162" w:name="_Toc119179985"/>
      <w:bookmarkStart w:id="163" w:name="_Toc102134304"/>
      <w:r>
        <w:rPr>
          <w:rStyle w:val="22"/>
          <w:rFonts w:ascii="Times New Roman" w:hAnsi="Times New Roman" w:cs="Times New Roman"/>
        </w:rPr>
        <w:t>4、促进人口均衡发展</w:t>
      </w:r>
      <w:bookmarkEnd w:id="161"/>
      <w:bookmarkEnd w:id="162"/>
      <w:r>
        <w:rPr>
          <w:rFonts w:ascii="Times New Roman" w:hAnsi="Times New Roman" w:eastAsia="仿宋" w:cs="Times New Roman"/>
          <w:b/>
          <w:bCs/>
          <w:color w:val="000000" w:themeColor="text1"/>
          <w:szCs w:val="32"/>
          <w14:textFill>
            <w14:solidFill>
              <w14:schemeClr w14:val="tx1"/>
            </w14:solidFill>
          </w14:textFill>
        </w:rPr>
        <w:t>。</w:t>
      </w:r>
      <w:bookmarkEnd w:id="163"/>
      <w:bookmarkStart w:id="164" w:name="_Toc102134305"/>
      <w:r>
        <w:rPr>
          <w:rFonts w:ascii="Times New Roman" w:hAnsi="Times New Roman" w:cs="Times New Roman"/>
          <w:color w:val="000000" w:themeColor="text1"/>
          <w:szCs w:val="32"/>
          <w14:textFill>
            <w14:solidFill>
              <w14:schemeClr w14:val="tx1"/>
            </w14:solidFill>
          </w14:textFill>
        </w:rPr>
        <w:t>贯彻落实人口与计划生育法律法规，提倡适龄婚育、优生优育，依法实施三孩生育政策。严格落实产假、哺乳假、育儿假等制度。合理配置母婴设施等公共服务资源。落实生育登记制度，做好生育登记与母婴保健服务、生育保险待遇等衔接工作。以“一老一小”为重点，建立健全覆盖全生命周期的人口服务体系。加强人口形势研判，完善人口预测预警制度，健全覆盖人口监测体系。构建新型婚育文化，营造生育友好社会环境。到2025年，积极生育支持政策体系基本建立，优生优育服务水平明显提高，出生人口性别比保持正常，人口结构逐步优化，人口素质进一步提升。</w:t>
      </w:r>
    </w:p>
    <w:p>
      <w:pPr>
        <w:adjustRightInd w:val="0"/>
        <w:spacing w:line="600" w:lineRule="exact"/>
        <w:ind w:firstLine="643"/>
        <w:rPr>
          <w:rFonts w:ascii="Times New Roman" w:hAnsi="Times New Roman" w:cs="Times New Roman"/>
          <w:color w:val="000000" w:themeColor="text1"/>
          <w:szCs w:val="32"/>
          <w14:textFill>
            <w14:solidFill>
              <w14:schemeClr w14:val="tx1"/>
            </w14:solidFill>
          </w14:textFill>
        </w:rPr>
      </w:pPr>
      <w:bookmarkStart w:id="165" w:name="_Toc110613670"/>
      <w:bookmarkStart w:id="166" w:name="_Toc119179986"/>
      <w:r>
        <w:rPr>
          <w:rStyle w:val="22"/>
          <w:rFonts w:ascii="Times New Roman" w:hAnsi="Times New Roman" w:cs="Times New Roman"/>
        </w:rPr>
        <w:t>5、提升妇幼、儿童健康保障水平</w:t>
      </w:r>
      <w:bookmarkEnd w:id="165"/>
      <w:bookmarkEnd w:id="166"/>
      <w:r>
        <w:rPr>
          <w:rFonts w:ascii="Times New Roman" w:hAnsi="Times New Roman" w:cs="Times New Roman"/>
          <w:b/>
          <w:bCs/>
          <w:color w:val="000000" w:themeColor="text1"/>
          <w:szCs w:val="32"/>
          <w14:textFill>
            <w14:solidFill>
              <w14:schemeClr w14:val="tx1"/>
            </w14:solidFill>
          </w14:textFill>
        </w:rPr>
        <w:t>。</w:t>
      </w:r>
      <w:bookmarkEnd w:id="164"/>
      <w:r>
        <w:rPr>
          <w:rFonts w:ascii="Times New Roman" w:hAnsi="Times New Roman" w:cs="Times New Roman"/>
          <w:color w:val="000000" w:themeColor="text1"/>
          <w:szCs w:val="32"/>
          <w14:textFill>
            <w14:solidFill>
              <w14:schemeClr w14:val="tx1"/>
            </w14:solidFill>
          </w14:textFill>
        </w:rPr>
        <w:t>健全以妇幼保健机构为核心，基层医疗卫生机构为基础，综合医院、专科医院、相关科研教学机构为支撑，民营医院为补充，保健与临床相结合，覆盖全市的妇幼健康服务体系。加强市级妇幼保健机构标准化建设和规范化管理，市级妇幼保健机构床位设置达到200张以上，建筑面积达到15000平方米以上，到2025年，确保市、旗县区均建设1所政府举办、标准化的妇幼保健机构，鼓励具备条件的妇幼保健机构创建三级妇幼保健机构。实施母婴安全行动提升计划和健康儿童行动提升计划，全面落实母婴安全五项制度。加强综合医院产、儿科和儿童医院建设，提升妇幼健康服务能力。加强儿童健康服务网络建设，2025年，每千名儿童拥有儿科执业（助理）医师达到1.12名，床位2.2张。加强危重孕产妇、新生儿救治网络建设，全面提升危重孕产妇和新生儿救治能力，控制孕产妇死亡率和婴儿死亡率。加强孕产妇和0-6岁儿童保健管理，孕产妇、3岁以下儿童系统管理率均保持在93%以上。开展妇女宫颈癌、乳腺癌“两癌”筛查，提高妇女常见病筛查率和早诊早治率。加强出生缺陷综合防治，构建覆盖城乡居民，涵盖婚前和孕前、孕期、产前、新生儿各阶段的出生缺陷三级防治体系。加强儿童早期发展工作，到2025 年，孕产妇系统管理率和3岁以下儿童系统管理率进一步提升，孕前优生健康检查目标人群覆盖率100%和产前筛查率均达到85%以上，新生儿遗传代谢性疾病筛查率达到98%以上，新生儿听力筛查率达到90%以上。</w:t>
      </w:r>
    </w:p>
    <w:p>
      <w:pPr>
        <w:adjustRightInd w:val="0"/>
        <w:spacing w:line="600" w:lineRule="exact"/>
        <w:ind w:firstLine="643"/>
        <w:rPr>
          <w:rFonts w:ascii="Times New Roman" w:hAnsi="Times New Roman" w:cs="Times New Roman"/>
          <w:color w:val="000000" w:themeColor="text1"/>
          <w:szCs w:val="32"/>
          <w14:textFill>
            <w14:solidFill>
              <w14:schemeClr w14:val="tx1"/>
            </w14:solidFill>
          </w14:textFill>
        </w:rPr>
      </w:pPr>
      <w:bookmarkStart w:id="167" w:name="_Toc119179987"/>
      <w:bookmarkStart w:id="168" w:name="_Toc110613671"/>
      <w:bookmarkStart w:id="169" w:name="_Toc102134306"/>
      <w:r>
        <w:rPr>
          <w:rStyle w:val="22"/>
          <w:rFonts w:ascii="Times New Roman" w:hAnsi="Times New Roman" w:cs="Times New Roman"/>
        </w:rPr>
        <w:t>6、推进3岁以下婴幼儿照护服务</w:t>
      </w:r>
      <w:bookmarkEnd w:id="167"/>
      <w:bookmarkEnd w:id="168"/>
      <w:r>
        <w:rPr>
          <w:rFonts w:ascii="Times New Roman" w:hAnsi="Times New Roman" w:eastAsia="仿宋" w:cs="Times New Roman"/>
          <w:b/>
          <w:bCs/>
          <w:color w:val="000000" w:themeColor="text1"/>
          <w:szCs w:val="32"/>
          <w14:textFill>
            <w14:solidFill>
              <w14:schemeClr w14:val="tx1"/>
            </w14:solidFill>
          </w14:textFill>
        </w:rPr>
        <w:t>。</w:t>
      </w:r>
      <w:bookmarkEnd w:id="169"/>
      <w:r>
        <w:rPr>
          <w:rFonts w:ascii="Times New Roman" w:hAnsi="Times New Roman" w:cs="Times New Roman"/>
          <w:color w:val="000000" w:themeColor="text1"/>
          <w:szCs w:val="32"/>
          <w14:textFill>
            <w14:solidFill>
              <w14:schemeClr w14:val="tx1"/>
            </w14:solidFill>
          </w14:textFill>
        </w:rPr>
        <w:t>建立完善婴幼儿照护服务发展支持政策，多种形式促进婴幼儿照护服务专业化、规范化发展。支持公办托育服务能力建设项目，鼓励社会力量举办托育服务机构，推动建设方便可及、价格可接受、质量有保障的普惠托育服务机构。推动托幼协同发展，鼓励有条件的幼儿园招收2至3岁幼儿，提供托育服务。支持用人单位以单独或联合其他单位共同举办的方式，在工作场所为职工提供福利性托育服务，有条件的可向附近居民开放。新建住宅小区与配套婴幼儿照护服务设施同步规划、同步建设、同步验收、同步交付，在城市居住社区建设补短板和城镇老旧小区改造中统筹推进婴幼儿照护服务设施。结合实施乡村振兴战略，逐步扩大农村牧区托育服务覆盖面。支持有条件的医疗卫生机构发展托育服务，鼓励医疗卫生机构和托育服务机构开展签约服务，推动“医育结合”。规范有序开展家庭托育点建设。强化家庭婴幼儿照护主体责任，统筹基层妇幼保健、婴幼儿照护服务机构、学前教育机构、社区、群团组织等力量，为婴幼儿家庭开展照护服务提供指导。支持“互联网+托育”发展，开展在线父母课堂、育儿资讯等服务。各旗县区结合实际按照目标要求逐年落实托位建设任务。到2025 年，每个旗县区建成1所婴幼儿照护服务指导中心。</w:t>
      </w:r>
    </w:p>
    <w:p>
      <w:pPr>
        <w:adjustRightInd w:val="0"/>
        <w:spacing w:line="600" w:lineRule="exact"/>
        <w:ind w:firstLine="643"/>
        <w:rPr>
          <w:rFonts w:ascii="Times New Roman" w:hAnsi="Times New Roman" w:cs="Times New Roman"/>
          <w:color w:val="000000" w:themeColor="text1"/>
          <w:szCs w:val="32"/>
          <w14:textFill>
            <w14:solidFill>
              <w14:schemeClr w14:val="tx1"/>
            </w14:solidFill>
          </w14:textFill>
        </w:rPr>
      </w:pPr>
      <w:bookmarkStart w:id="170" w:name="_Toc110613672"/>
      <w:bookmarkStart w:id="171" w:name="_Toc119179988"/>
      <w:bookmarkStart w:id="172" w:name="_Toc102134307"/>
      <w:r>
        <w:rPr>
          <w:rStyle w:val="22"/>
          <w:rFonts w:ascii="Times New Roman" w:hAnsi="Times New Roman" w:cs="Times New Roman"/>
        </w:rPr>
        <w:t>7、促进青少年身心健康</w:t>
      </w:r>
      <w:bookmarkEnd w:id="170"/>
      <w:bookmarkEnd w:id="171"/>
      <w:r>
        <w:rPr>
          <w:rFonts w:ascii="Times New Roman" w:hAnsi="Times New Roman" w:cs="Times New Roman"/>
          <w:b/>
          <w:bCs/>
          <w:color w:val="000000" w:themeColor="text1"/>
          <w:szCs w:val="32"/>
          <w14:textFill>
            <w14:solidFill>
              <w14:schemeClr w14:val="tx1"/>
            </w14:solidFill>
          </w14:textFill>
        </w:rPr>
        <w:t>。</w:t>
      </w:r>
      <w:bookmarkEnd w:id="172"/>
      <w:r>
        <w:rPr>
          <w:rFonts w:ascii="Times New Roman" w:hAnsi="Times New Roman" w:cs="Times New Roman"/>
          <w:color w:val="000000" w:themeColor="text1"/>
          <w:szCs w:val="32"/>
          <w14:textFill>
            <w14:solidFill>
              <w14:schemeClr w14:val="tx1"/>
            </w14:solidFill>
          </w14:textFill>
        </w:rPr>
        <w:t>加强学生体质健康管理，培养青少年体育爱好，提高身体素质。加强学校健康教育，开展学生生理、心理卫生和健康行为教育、生命教育和食品药品安全等健康科普宣传。开展学生健康影响因素监测与评价，落实食品安全、传染病防控、学校卫生、青少年控烟措施。全市儿童青少年总体近视率保持逐年下降。以青少年等为重点，开展性健康、性心理、性道德和性安全的宣传教育和干预，加强对性传播高危行为人群的综合干预，减少意外妊娠和性相关疾病传播。</w:t>
      </w:r>
    </w:p>
    <w:p>
      <w:pPr>
        <w:adjustRightInd w:val="0"/>
        <w:spacing w:line="600" w:lineRule="exact"/>
        <w:ind w:firstLine="643"/>
        <w:rPr>
          <w:rFonts w:ascii="Times New Roman" w:hAnsi="Times New Roman" w:eastAsia="仿宋" w:cs="Times New Roman"/>
          <w:color w:val="000000" w:themeColor="text1"/>
          <w:szCs w:val="32"/>
          <w14:textFill>
            <w14:solidFill>
              <w14:schemeClr w14:val="tx1"/>
            </w14:solidFill>
          </w14:textFill>
        </w:rPr>
      </w:pPr>
      <w:bookmarkStart w:id="173" w:name="_Toc119179989"/>
      <w:bookmarkStart w:id="174" w:name="_Toc110613673"/>
      <w:bookmarkStart w:id="175" w:name="_Toc102134308"/>
      <w:r>
        <w:rPr>
          <w:rStyle w:val="22"/>
          <w:rFonts w:ascii="Times New Roman" w:hAnsi="Times New Roman" w:cs="Times New Roman"/>
        </w:rPr>
        <w:t>8、优化老年人健康服务</w:t>
      </w:r>
      <w:bookmarkEnd w:id="173"/>
      <w:bookmarkEnd w:id="174"/>
      <w:r>
        <w:rPr>
          <w:rFonts w:ascii="Times New Roman" w:hAnsi="Times New Roman" w:eastAsia="仿宋" w:cs="Times New Roman"/>
          <w:b/>
          <w:bCs/>
          <w:color w:val="000000" w:themeColor="text1"/>
          <w:szCs w:val="32"/>
          <w14:textFill>
            <w14:solidFill>
              <w14:schemeClr w14:val="tx1"/>
            </w14:solidFill>
          </w14:textFill>
        </w:rPr>
        <w:t>。</w:t>
      </w:r>
      <w:bookmarkEnd w:id="175"/>
      <w:bookmarkStart w:id="176" w:name="_Toc102134309"/>
      <w:r>
        <w:rPr>
          <w:rFonts w:ascii="Times New Roman" w:hAnsi="Times New Roman" w:cs="Times New Roman"/>
          <w:color w:val="000000" w:themeColor="text1"/>
          <w:szCs w:val="32"/>
          <w14:textFill>
            <w14:solidFill>
              <w14:schemeClr w14:val="tx1"/>
            </w14:solidFill>
          </w14:textFill>
        </w:rPr>
        <w:t>全面落实积极应对人口老龄化国家战略。建立健康教育、预防保健、疾病诊治、康复护理、长期照护、安宁疗护“六位一体”、综合连续的老年健康服务体系。实施老年健康促进行动，通过老年健康宣传周等多种活动，加强老年健康教育科普工作，提升老年人健康素养水平。加强老年人健康管理，落实老年人基本公共卫生服务和家庭医生签约服务。发挥中医药（蒙医药）在老年病、慢性病防治、康复等方面的优势和作用，积极开展社区和居家中医药（蒙医药）健康服务。加强老年医学科建设，二级以上综合性医院设立老年医学科比例达到60%以上。聚焦老年人健康养老需求，实施社区医养结合能力提升行动，深入推进医养结合。加强失能老年人长期照护服务和保障。强化疾病预防控制机构和基层医疗卫生机构作用，指导开展老年期重点疾病预防控制工作，促进老年健康服务向社区和家庭延伸。深入实施智慧助老行动，建设老年友善医疗机构，开展示范性城乡老年友好型社区创建。到2025年，全市85%以上的综合性医院和基层医疗机构成为老年友善医疗机构，力争创建8个全国示范性城乡老年友好型社区。</w:t>
      </w:r>
    </w:p>
    <w:p>
      <w:pPr>
        <w:adjustRightInd w:val="0"/>
        <w:spacing w:line="600" w:lineRule="exact"/>
        <w:ind w:firstLine="643"/>
        <w:rPr>
          <w:rFonts w:ascii="Times New Roman" w:hAnsi="Times New Roman" w:cs="Times New Roman"/>
          <w:szCs w:val="32"/>
        </w:rPr>
      </w:pPr>
      <w:bookmarkStart w:id="177" w:name="_Toc119179990"/>
      <w:bookmarkStart w:id="178" w:name="_Toc110613674"/>
      <w:r>
        <w:rPr>
          <w:rStyle w:val="22"/>
          <w:rFonts w:ascii="Times New Roman" w:hAnsi="Times New Roman" w:cs="Times New Roman"/>
        </w:rPr>
        <w:t>9、巩固健康扶贫成果</w:t>
      </w:r>
      <w:bookmarkEnd w:id="177"/>
      <w:bookmarkEnd w:id="178"/>
      <w:r>
        <w:rPr>
          <w:rFonts w:ascii="Times New Roman" w:hAnsi="Times New Roman" w:eastAsia="仿宋" w:cs="Times New Roman"/>
          <w:b/>
          <w:bCs/>
          <w:color w:val="000000" w:themeColor="text1"/>
          <w:szCs w:val="32"/>
          <w14:textFill>
            <w14:solidFill>
              <w14:schemeClr w14:val="tx1"/>
            </w14:solidFill>
          </w14:textFill>
        </w:rPr>
        <w:t>。</w:t>
      </w:r>
      <w:bookmarkEnd w:id="176"/>
      <w:r>
        <w:rPr>
          <w:rFonts w:ascii="Times New Roman" w:hAnsi="Times New Roman" w:cs="Times New Roman"/>
          <w:szCs w:val="32"/>
        </w:rPr>
        <w:t>到2025年，农村牧区低收入人口基本医疗卫生保障水平明显提升，全生命周期健康服务逐步完善；脱贫地区县乡村三级医疗卫生服务体系进一步完善，设施条件进一步改善，服务能力和可及性进一步提升。以医疗卫生机构“三个一”为基础，实现医疗技术人员“三合格”、医疗服务能力“三条线”。重大疾病危害得到控制和消除，卫生环境进一步改善，居民健康素养明显提升；基本医疗有保障成果持续巩固，健全因病返贫致贫动态监测和精准帮扶常态化机制。对脱贫不稳定户、边缘易致贫人口大病、重病救治情况实施动态监测。优化疾病分类救治措施，大病专项救治病种≥30种，签约家庭医生的农村低收入人口高血压、糖尿病、结核病和严重精神障碍的规范管理率达到90%。基层乡村医疗卫生机构和人员“空白点”持续实现动态清零，健康乡村建设取得明显成效。</w:t>
      </w:r>
    </w:p>
    <w:p>
      <w:pPr>
        <w:adjustRightInd w:val="0"/>
        <w:spacing w:line="600" w:lineRule="exact"/>
        <w:ind w:firstLine="643"/>
        <w:rPr>
          <w:rFonts w:ascii="Times New Roman" w:hAnsi="Times New Roman" w:cs="Times New Roman"/>
          <w:color w:val="000000" w:themeColor="text1"/>
          <w:szCs w:val="32"/>
          <w14:textFill>
            <w14:solidFill>
              <w14:schemeClr w14:val="tx1"/>
            </w14:solidFill>
          </w14:textFill>
        </w:rPr>
      </w:pPr>
      <w:bookmarkStart w:id="179" w:name="_Toc119179991"/>
      <w:bookmarkStart w:id="180" w:name="_Toc110613675"/>
      <w:bookmarkStart w:id="181" w:name="_Toc102134310"/>
      <w:r>
        <w:rPr>
          <w:rStyle w:val="22"/>
          <w:rFonts w:ascii="Times New Roman" w:hAnsi="Times New Roman" w:cs="Times New Roman"/>
        </w:rPr>
        <w:t>10、完善残疾人医疗和康复服务</w:t>
      </w:r>
      <w:bookmarkEnd w:id="179"/>
      <w:bookmarkEnd w:id="180"/>
      <w:r>
        <w:rPr>
          <w:rFonts w:ascii="Times New Roman" w:hAnsi="Times New Roman" w:eastAsia="仿宋" w:cs="Times New Roman"/>
          <w:b/>
          <w:bCs/>
          <w:color w:val="000000" w:themeColor="text1"/>
          <w:szCs w:val="32"/>
          <w14:textFill>
            <w14:solidFill>
              <w14:schemeClr w14:val="tx1"/>
            </w14:solidFill>
          </w14:textFill>
        </w:rPr>
        <w:t>。</w:t>
      </w:r>
      <w:bookmarkEnd w:id="181"/>
      <w:r>
        <w:rPr>
          <w:rFonts w:ascii="Times New Roman" w:hAnsi="Times New Roman" w:cs="Times New Roman"/>
          <w:color w:val="000000" w:themeColor="text1"/>
          <w:szCs w:val="32"/>
          <w14:textFill>
            <w14:solidFill>
              <w14:schemeClr w14:val="tx1"/>
            </w14:solidFill>
          </w14:textFill>
        </w:rPr>
        <w:t>加大符合条件的低收入残疾人医疗救助力度，建立医疗机构与残疾人专业康复机构双向转诊机制，推动基层医疗卫生机构优先为残疾人提供基本公共卫生服务，实施精准康复。提升和改善残疾人医疗康复服务，完善医疗机构无障碍设施，强化残疾人服务设施和综合服务能力建设，为残疾人提供就医便利，提升康复医疗、康复训练、辅助器具适配等服务质量。提升县级综合医院和基层医疗卫生机构康复服务能力。落实残疾人家庭医生签约服务，依托家庭医生服务团队为残疾人就近就便提供康复服务。推动康复与教育、残疾与健康、医疗与康复等融合发展，提升残疾人健康服务水平。</w:t>
      </w:r>
    </w:p>
    <w:tbl>
      <w:tblPr>
        <w:tblStyle w:val="33"/>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8296" w:type="dxa"/>
            <w:vAlign w:val="center"/>
          </w:tcPr>
          <w:p>
            <w:pPr>
              <w:ind w:firstLine="0" w:firstLineChars="0"/>
              <w:jc w:val="center"/>
              <w:rPr>
                <w:rFonts w:ascii="Times New Roman" w:hAnsi="Times New Roman" w:cs="Times New Roman"/>
                <w:b/>
                <w:bCs/>
                <w:color w:val="000000" w:themeColor="text1"/>
                <w:sz w:val="28"/>
                <w:szCs w:val="21"/>
                <w14:textFill>
                  <w14:solidFill>
                    <w14:schemeClr w14:val="tx1"/>
                  </w14:solidFill>
                </w14:textFill>
              </w:rPr>
            </w:pPr>
            <w:r>
              <w:rPr>
                <w:rFonts w:ascii="Times New Roman" w:hAnsi="Times New Roman" w:cs="Times New Roman"/>
                <w:b/>
                <w:bCs/>
                <w:color w:val="000000" w:themeColor="text1"/>
                <w:sz w:val="28"/>
                <w:szCs w:val="21"/>
                <w14:textFill>
                  <w14:solidFill>
                    <w14:schemeClr w14:val="tx1"/>
                  </w14:solidFill>
                </w14:textFill>
              </w:rPr>
              <w:t>专栏5 构建全生命周期健康服务体系重大项目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1" w:hRule="atLeast"/>
          <w:jc w:val="center"/>
        </w:trPr>
        <w:tc>
          <w:tcPr>
            <w:tcW w:w="8296" w:type="dxa"/>
          </w:tcPr>
          <w:p>
            <w:pPr>
              <w:spacing w:line="460" w:lineRule="exact"/>
              <w:ind w:firstLine="482"/>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b/>
                <w:bCs/>
                <w:color w:val="000000" w:themeColor="text1"/>
                <w:sz w:val="24"/>
                <w14:textFill>
                  <w14:solidFill>
                    <w14:schemeClr w14:val="tx1"/>
                  </w14:solidFill>
                </w14:textFill>
              </w:rPr>
              <w:t>妇幼保健机构建设：</w:t>
            </w:r>
            <w:r>
              <w:rPr>
                <w:rFonts w:ascii="Times New Roman" w:hAnsi="Times New Roman" w:eastAsia="宋体" w:cs="Times New Roman"/>
                <w:color w:val="000000" w:themeColor="text1"/>
                <w:sz w:val="24"/>
                <w14:textFill>
                  <w14:solidFill>
                    <w14:schemeClr w14:val="tx1"/>
                  </w14:solidFill>
                </w14:textFill>
              </w:rPr>
              <w:t>市、旗县区均建设1个政府举办、标准化的妇幼保健机构，鼓励具备条件的妇幼保健机构创建三级医院。</w:t>
            </w:r>
          </w:p>
          <w:p>
            <w:pPr>
              <w:spacing w:line="460" w:lineRule="exact"/>
              <w:ind w:firstLine="360" w:firstLineChars="150"/>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b/>
                <w:bCs/>
                <w:color w:val="000000" w:themeColor="text1"/>
                <w:sz w:val="24"/>
                <w14:textFill>
                  <w14:solidFill>
                    <w14:schemeClr w14:val="tx1"/>
                  </w14:solidFill>
                </w14:textFill>
              </w:rPr>
              <w:t>健康促进建设</w:t>
            </w:r>
            <w:r>
              <w:rPr>
                <w:rFonts w:ascii="Times New Roman" w:hAnsi="Times New Roman" w:eastAsia="宋体" w:cs="Times New Roman"/>
                <w:color w:val="000000" w:themeColor="text1"/>
                <w:sz w:val="24"/>
                <w14:textFill>
                  <w14:solidFill>
                    <w14:schemeClr w14:val="tx1"/>
                  </w14:solidFill>
                </w14:textFill>
              </w:rPr>
              <w:t>：各旗县区全部达到健康促进旗县建设标准；二级以上医院全部创建为健康促进医院。</w:t>
            </w:r>
          </w:p>
          <w:p>
            <w:pPr>
              <w:spacing w:line="460" w:lineRule="exact"/>
              <w:ind w:firstLine="482"/>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b/>
                <w:bCs/>
                <w:color w:val="000000" w:themeColor="text1"/>
                <w:sz w:val="24"/>
                <w14:textFill>
                  <w14:solidFill>
                    <w14:schemeClr w14:val="tx1"/>
                  </w14:solidFill>
                </w14:textFill>
              </w:rPr>
              <w:t>深入开展爱国卫生运动：</w:t>
            </w:r>
            <w:r>
              <w:rPr>
                <w:rFonts w:ascii="Times New Roman" w:hAnsi="Times New Roman" w:eastAsia="宋体" w:cs="Times New Roman"/>
                <w:color w:val="000000" w:themeColor="text1"/>
                <w:sz w:val="24"/>
                <w14:textFill>
                  <w14:solidFill>
                    <w14:schemeClr w14:val="tx1"/>
                  </w14:solidFill>
                </w14:textFill>
              </w:rPr>
              <w:t>临河区建成“健康示范城市”，50%的旗县区所在地及各苏木乡镇所在地的城（镇）区建成“健康示范城镇（社区）”</w:t>
            </w:r>
          </w:p>
          <w:p>
            <w:pPr>
              <w:spacing w:line="460" w:lineRule="exact"/>
              <w:ind w:firstLine="482"/>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b/>
                <w:bCs/>
                <w:color w:val="000000" w:themeColor="text1"/>
                <w:sz w:val="24"/>
                <w14:textFill>
                  <w14:solidFill>
                    <w14:schemeClr w14:val="tx1"/>
                  </w14:solidFill>
                </w14:textFill>
              </w:rPr>
              <w:t>积极推进控烟工作：</w:t>
            </w:r>
            <w:r>
              <w:rPr>
                <w:rFonts w:ascii="Times New Roman" w:hAnsi="Times New Roman" w:eastAsia="宋体" w:cs="Times New Roman"/>
                <w:color w:val="000000" w:themeColor="text1"/>
                <w:sz w:val="24"/>
                <w14:textFill>
                  <w14:solidFill>
                    <w14:schemeClr w14:val="tx1"/>
                  </w14:solidFill>
                </w14:textFill>
              </w:rPr>
              <w:t>到2025年，15岁以上人群吸烟率低于23.3%，全市无烟党政机关创建比例达到100%。</w:t>
            </w:r>
          </w:p>
          <w:p>
            <w:pPr>
              <w:spacing w:line="460" w:lineRule="exact"/>
              <w:ind w:firstLine="482"/>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b/>
                <w:bCs/>
                <w:color w:val="000000" w:themeColor="text1"/>
                <w:sz w:val="24"/>
                <w14:textFill>
                  <w14:solidFill>
                    <w14:schemeClr w14:val="tx1"/>
                  </w14:solidFill>
                </w14:textFill>
              </w:rPr>
              <w:t>婴幼儿照护服务：</w:t>
            </w:r>
            <w:r>
              <w:rPr>
                <w:rFonts w:ascii="Times New Roman" w:hAnsi="Times New Roman" w:eastAsia="宋体" w:cs="Times New Roman"/>
                <w:color w:val="000000" w:themeColor="text1"/>
                <w:sz w:val="24"/>
                <w14:textFill>
                  <w14:solidFill>
                    <w14:schemeClr w14:val="tx1"/>
                  </w14:solidFill>
                </w14:textFill>
              </w:rPr>
              <w:t>每个旗县区建成1所婴幼儿照护服务指导中心。</w:t>
            </w:r>
          </w:p>
          <w:p>
            <w:pPr>
              <w:spacing w:line="460" w:lineRule="exact"/>
              <w:ind w:firstLine="480"/>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老年人健康服务。二级以上综合性医院设立老年医学科比例达到60%以上，全市85%以上的综合性医院和基层医疗机构成为老年友善医疗机构。</w:t>
            </w:r>
          </w:p>
          <w:p>
            <w:pPr>
              <w:spacing w:line="460" w:lineRule="exact"/>
              <w:ind w:firstLine="482"/>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b/>
                <w:bCs/>
                <w:color w:val="000000" w:themeColor="text1"/>
                <w:sz w:val="24"/>
                <w14:textFill>
                  <w14:solidFill>
                    <w14:schemeClr w14:val="tx1"/>
                  </w14:solidFill>
                </w14:textFill>
              </w:rPr>
              <w:t>巩固拓展健康扶贫成果主要指标：</w:t>
            </w:r>
            <w:r>
              <w:rPr>
                <w:rFonts w:ascii="Times New Roman" w:hAnsi="Times New Roman" w:eastAsia="宋体" w:cs="Times New Roman"/>
                <w:color w:val="000000" w:themeColor="text1"/>
                <w:sz w:val="24"/>
                <w14:textFill>
                  <w14:solidFill>
                    <w14:schemeClr w14:val="tx1"/>
                  </w14:solidFill>
                </w14:textFill>
              </w:rPr>
              <w:t>乡村两级医疗卫生机构和人员“空白点”动态清零，常住人口超过10万人的脱贫旗县区要有1所县级医院达到二级医院医疗服务能力。1所县级综合医院达到三级医院医疗服务能力。脱贫地区苏木乡镇卫生院和行政嘎查村卫生室完成标准化建设，脱贫地区苏木乡镇卫生院中医（蒙医馆）设置实现全覆盖；签约家庭医生的农村低收入人口高血压、糖尿病、结核病和严重精神障碍的规范管理率达到90%；大病专项救治病种≥30种</w:t>
            </w:r>
          </w:p>
        </w:tc>
      </w:tr>
    </w:tbl>
    <w:p>
      <w:pPr>
        <w:pStyle w:val="3"/>
        <w:keepNext w:val="0"/>
        <w:keepLines w:val="0"/>
        <w:adjustRightInd w:val="0"/>
        <w:spacing w:line="600" w:lineRule="exact"/>
        <w:ind w:firstLine="643"/>
        <w:rPr>
          <w:rFonts w:ascii="Times New Roman" w:hAnsi="Times New Roman" w:eastAsia="楷体_GB2312" w:cs="Times New Roman"/>
        </w:rPr>
      </w:pPr>
      <w:bookmarkStart w:id="182" w:name="_Toc110613676"/>
      <w:bookmarkStart w:id="183" w:name="_Toc119179992"/>
      <w:bookmarkStart w:id="184" w:name="_Toc110018718"/>
      <w:r>
        <w:rPr>
          <w:rFonts w:ascii="Times New Roman" w:hAnsi="Times New Roman" w:eastAsia="楷体_GB2312" w:cs="Times New Roman"/>
        </w:rPr>
        <w:t>（六）构建卫生健康综合保障支撑体系</w:t>
      </w:r>
      <w:bookmarkEnd w:id="152"/>
      <w:bookmarkEnd w:id="182"/>
      <w:bookmarkEnd w:id="183"/>
      <w:bookmarkEnd w:id="184"/>
    </w:p>
    <w:p>
      <w:pPr>
        <w:adjustRightInd w:val="0"/>
        <w:spacing w:line="600" w:lineRule="exact"/>
        <w:ind w:firstLine="643"/>
        <w:rPr>
          <w:rFonts w:ascii="Times New Roman" w:hAnsi="Times New Roman" w:cs="Times New Roman"/>
          <w:szCs w:val="32"/>
        </w:rPr>
      </w:pPr>
      <w:bookmarkStart w:id="185" w:name="_Toc110613677"/>
      <w:bookmarkStart w:id="186" w:name="_Toc119179993"/>
      <w:bookmarkStart w:id="187" w:name="_Toc102134312"/>
      <w:r>
        <w:rPr>
          <w:rStyle w:val="22"/>
          <w:rFonts w:ascii="Times New Roman" w:hAnsi="Times New Roman" w:cs="Times New Roman"/>
        </w:rPr>
        <w:t>1、加强卫生健康人才队伍建设</w:t>
      </w:r>
      <w:bookmarkEnd w:id="185"/>
      <w:bookmarkEnd w:id="186"/>
      <w:r>
        <w:rPr>
          <w:rFonts w:ascii="Times New Roman" w:hAnsi="Times New Roman" w:eastAsia="仿宋" w:cs="Times New Roman"/>
          <w:b/>
          <w:bCs/>
          <w:color w:val="000000" w:themeColor="text1"/>
          <w:szCs w:val="32"/>
          <w14:textFill>
            <w14:solidFill>
              <w14:schemeClr w14:val="tx1"/>
            </w14:solidFill>
          </w14:textFill>
        </w:rPr>
        <w:t>。</w:t>
      </w:r>
      <w:bookmarkEnd w:id="187"/>
      <w:bookmarkStart w:id="188" w:name="_Toc102134314"/>
      <w:r>
        <w:rPr>
          <w:rFonts w:ascii="Times New Roman" w:hAnsi="Times New Roman" w:cs="Times New Roman"/>
          <w:szCs w:val="32"/>
        </w:rPr>
        <w:t>围绕“引、培、留、用、管”各个环节，进一步加强卫生健康人才队伍建设。围绕加快推进区域医疗中心建设，加大高层次医学人才引进力度，力争每年引进10名左右研究生以上学历人才；加强急需紧缺人才队伍建设，大力培养培训全科、儿科、养老护理、康复治疗、心理咨询及卫生应急、公共卫生、卫生管理、精神卫生等急需紧缺专门人才。积极采取用政策、用感情、用待遇、用事业等各项措施留住人才。加强公共卫生人才培养力度。重点针对在新冠肺炎疫情防控工作中暴露出的公共卫生人才培养的短板和问题，加强对疾病预防控制、医疗救治、卫生应急、卫生监督等专业人才的业务培训，补足呼吸、重症、感染及流行病学调查、现场处置、消毒、实验室检测等专业人才短板。加强基层人才队伍建设。持续开展农村订单定向免费本科医学生人才培养项目，每年为基层医疗卫生机构培训100名骨干人员。加大全科医生培养力度，到2025年，全市每万人口全科医生数达到3.2人，力争乡村医生持有执业（助理）医师证在原有基础上增长5%。落实卫生健康人才评价机制，建立有利于人才培养使用的制度。</w:t>
      </w:r>
    </w:p>
    <w:p>
      <w:pPr>
        <w:adjustRightInd w:val="0"/>
        <w:spacing w:line="600" w:lineRule="exact"/>
        <w:ind w:firstLine="643"/>
        <w:rPr>
          <w:rFonts w:ascii="Times New Roman" w:hAnsi="Times New Roman" w:cs="Times New Roman"/>
          <w:szCs w:val="32"/>
        </w:rPr>
      </w:pPr>
      <w:bookmarkStart w:id="189" w:name="_Toc110613678"/>
      <w:bookmarkStart w:id="190" w:name="_Toc119179994"/>
      <w:r>
        <w:rPr>
          <w:rStyle w:val="22"/>
          <w:rFonts w:ascii="Times New Roman" w:hAnsi="Times New Roman" w:cs="Times New Roman"/>
        </w:rPr>
        <w:t>2、促进全市重点学科发展建设</w:t>
      </w:r>
      <w:bookmarkEnd w:id="189"/>
      <w:bookmarkEnd w:id="190"/>
      <w:r>
        <w:rPr>
          <w:rFonts w:ascii="Times New Roman" w:hAnsi="Times New Roman" w:eastAsia="仿宋" w:cs="Times New Roman"/>
          <w:b/>
          <w:bCs/>
          <w:color w:val="000000" w:themeColor="text1"/>
          <w:szCs w:val="32"/>
          <w14:textFill>
            <w14:solidFill>
              <w14:schemeClr w14:val="tx1"/>
            </w14:solidFill>
          </w14:textFill>
        </w:rPr>
        <w:t>。</w:t>
      </w:r>
      <w:r>
        <w:rPr>
          <w:rFonts w:ascii="Times New Roman" w:hAnsi="Times New Roman" w:cs="Times New Roman"/>
          <w:color w:val="000000" w:themeColor="text1"/>
          <w:szCs w:val="32"/>
          <w14:textFill>
            <w14:solidFill>
              <w14:schemeClr w14:val="tx1"/>
            </w14:solidFill>
          </w14:textFill>
        </w:rPr>
        <w:t>持续推进“科卫协同”机制，以领先重点学科建设为抓手，不断提升巴彦淖尔市医疗技术能力和医疗质量水平。打造建设一批自治区级领先重点学科，巴彦淖尔市医院、巴彦淖尔市中医医院要保持现有自治区级领先重点学科的基础上，争取各建设完成2个以上领先重点学科；临河区人民医院、临河区妇幼保健院、乌拉特前旗人民医院、乌拉特前旗中蒙医院、乌拉特前旗妇幼保健院、五原县人民医院要力争各建设完成1个自治区级领先重点学科；各医疗机构要努力培育重点领先学科，对已经建设成熟的领先重点学科，积极创建自治区级临床医学研究中心，加强医疗卫生基础研究、临床诊疗、学科建设的融合发展，提升巴彦淖尔市卫生健康科技创新能力持续发展。围绕鼠疫和新冠肺炎等重点传染病、布氏杆菌病等人畜共患病、地方病及慢性非传染性疾病等开展防控研究。积极推广科技成果与适宜技术项目，加强对蒙技术交流合作，广泛开展与全国各省（区、市）以及周边国家技术交流与合作。</w:t>
      </w:r>
    </w:p>
    <w:bookmarkEnd w:id="188"/>
    <w:p>
      <w:pPr>
        <w:adjustRightInd w:val="0"/>
        <w:spacing w:line="600" w:lineRule="exact"/>
        <w:ind w:firstLine="643"/>
        <w:rPr>
          <w:rFonts w:ascii="Times New Roman" w:hAnsi="Times New Roman" w:cs="Times New Roman"/>
          <w:color w:val="000000" w:themeColor="text1"/>
          <w:szCs w:val="32"/>
          <w14:textFill>
            <w14:solidFill>
              <w14:schemeClr w14:val="tx1"/>
            </w14:solidFill>
          </w14:textFill>
        </w:rPr>
      </w:pPr>
      <w:bookmarkStart w:id="191" w:name="_Toc110613679"/>
      <w:bookmarkStart w:id="192" w:name="_Toc119179995"/>
      <w:r>
        <w:rPr>
          <w:rStyle w:val="22"/>
          <w:rFonts w:ascii="Times New Roman" w:hAnsi="Times New Roman" w:cs="Times New Roman"/>
        </w:rPr>
        <w:t>3、推进智慧化医疗健康服务</w:t>
      </w:r>
      <w:bookmarkEnd w:id="191"/>
      <w:bookmarkEnd w:id="192"/>
      <w:r>
        <w:rPr>
          <w:rFonts w:ascii="Times New Roman" w:hAnsi="Times New Roman" w:eastAsia="仿宋" w:cs="Times New Roman"/>
          <w:b/>
          <w:bCs/>
          <w:color w:val="000000" w:themeColor="text1"/>
          <w:szCs w:val="32"/>
          <w14:textFill>
            <w14:solidFill>
              <w14:schemeClr w14:val="tx1"/>
            </w14:solidFill>
          </w14:textFill>
        </w:rPr>
        <w:t>。</w:t>
      </w:r>
      <w:r>
        <w:rPr>
          <w:rFonts w:ascii="Times New Roman" w:hAnsi="Times New Roman" w:cs="Times New Roman"/>
          <w:color w:val="000000" w:themeColor="text1"/>
          <w:szCs w:val="32"/>
          <w14:textFill>
            <w14:solidFill>
              <w14:schemeClr w14:val="tx1"/>
            </w14:solidFill>
          </w14:textFill>
        </w:rPr>
        <w:t>积极适应“数字卫生”建设新形势和全市卫生健康发展新要求，强化网络信息基础设施保障能力建设，依托政务外网云和电信运营商资源，加强5G网络信息技术应用，利用电子政务网和卫生健康专网，以市、旗县区为区域建设卫生健康云数据中心，构建横向到边，纵向到底，内外分离的全民健康信息网络，提供各级卫生健康机构开展信息化建设所需服务器、存储等硬件资源，集中部署网络信息安全技术防护设施。按照国家卫生健康委《区统筹区域人口健康信息平台应用功能指引》要求，完善全民健康信息平台应用功能，推进全民健康信息平台市、旗县区两级应用，实现与各级医疗卫生机构互联互通、数据共享、业务协同，达到国家成熟度测评四级甲等水平；按照国家卫健委《医院信息平台应用功能指引》要求，落实医院信息化建设标准和规范，加快推进数字化医院、智慧医院建设，持续推进二级及以上医疗机构信息平台建设，二级及以上医疗机构全面建成基于云数据中心的医院信息平台，与全民健康信息平台实现互联互通，全市二级及以上公立医院电子病历应用水平达到5级及以上标准，每个旗县区建成至少1个“互联网医院”。</w:t>
      </w:r>
    </w:p>
    <w:p>
      <w:pPr>
        <w:adjustRightInd w:val="0"/>
        <w:spacing w:line="600" w:lineRule="exact"/>
        <w:ind w:firstLine="643"/>
        <w:rPr>
          <w:rFonts w:ascii="Times New Roman" w:hAnsi="Times New Roman" w:cs="Times New Roman"/>
          <w:szCs w:val="32"/>
        </w:rPr>
      </w:pPr>
      <w:bookmarkStart w:id="193" w:name="_Toc119179996"/>
      <w:bookmarkStart w:id="194" w:name="_Toc110613680"/>
      <w:bookmarkStart w:id="195" w:name="_Toc102134315"/>
      <w:r>
        <w:rPr>
          <w:rStyle w:val="22"/>
          <w:rFonts w:ascii="Times New Roman" w:hAnsi="Times New Roman" w:cs="Times New Roman"/>
        </w:rPr>
        <w:t>4、加强卫生健康法治建设</w:t>
      </w:r>
      <w:bookmarkEnd w:id="193"/>
      <w:bookmarkEnd w:id="194"/>
      <w:r>
        <w:rPr>
          <w:rFonts w:ascii="Times New Roman" w:hAnsi="Times New Roman" w:eastAsia="仿宋" w:cs="Times New Roman"/>
          <w:b/>
          <w:bCs/>
          <w:color w:val="000000" w:themeColor="text1"/>
          <w:szCs w:val="32"/>
          <w14:textFill>
            <w14:solidFill>
              <w14:schemeClr w14:val="tx1"/>
            </w14:solidFill>
          </w14:textFill>
        </w:rPr>
        <w:t>。</w:t>
      </w:r>
      <w:bookmarkEnd w:id="195"/>
      <w:r>
        <w:rPr>
          <w:rFonts w:ascii="Times New Roman" w:hAnsi="Times New Roman" w:cs="Times New Roman"/>
          <w:szCs w:val="32"/>
        </w:rPr>
        <w:t>统筹推进卫生健康领域法治建设各项任务，加强权责清单标准化制度，严格落实行政执法“三项制度”，规范执法案卷和执法文书。落实行政裁量权基准制度，推行“包容审慎柔性执法”。落实“八五”普法规划和普法责任制，推进国家工作人员学法用法制度。深化“放管服”改革，推进卫生健康领域政务服务和管理标准化，“一网办”“掌上办”“一次办”等服务不断优化，提升依法行政水平。落实市场准入负面清单制度、公平竞争审查制度，完善行政执法体系，强化综合监管职能，整合执法资源，加强执法能力建设。继续推行“双随机、一公开”抽查监督机制，加强事中事后监管，严厉打击“两非”等违法行为。</w:t>
      </w:r>
    </w:p>
    <w:tbl>
      <w:tblPr>
        <w:tblStyle w:val="32"/>
        <w:tblW w:w="91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9123" w:type="dxa"/>
            <w:vAlign w:val="center"/>
          </w:tcPr>
          <w:p>
            <w:pPr>
              <w:ind w:firstLine="0" w:firstLineChars="0"/>
              <w:jc w:val="center"/>
              <w:rPr>
                <w:rFonts w:ascii="Times New Roman" w:hAnsi="Times New Roman" w:cs="Times New Roman"/>
                <w:b/>
                <w:bCs/>
                <w:color w:val="000000" w:themeColor="text1"/>
                <w:sz w:val="28"/>
                <w:szCs w:val="21"/>
                <w14:textFill>
                  <w14:solidFill>
                    <w14:schemeClr w14:val="tx1"/>
                  </w14:solidFill>
                </w14:textFill>
              </w:rPr>
            </w:pPr>
            <w:bookmarkStart w:id="196" w:name="_Toc102134316"/>
            <w:r>
              <w:rPr>
                <w:rFonts w:ascii="Times New Roman" w:hAnsi="Times New Roman" w:cs="Times New Roman"/>
                <w:b/>
                <w:bCs/>
                <w:color w:val="000000" w:themeColor="text1"/>
                <w:sz w:val="28"/>
                <w:szCs w:val="21"/>
                <w14:textFill>
                  <w14:solidFill>
                    <w14:schemeClr w14:val="tx1"/>
                  </w14:solidFill>
                </w14:textFill>
              </w:rPr>
              <w:t>专栏6卫生健康综合保障支撑体系重大项目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4" w:hRule="atLeast"/>
        </w:trPr>
        <w:tc>
          <w:tcPr>
            <w:tcW w:w="9123" w:type="dxa"/>
          </w:tcPr>
          <w:p>
            <w:pPr>
              <w:spacing w:line="460" w:lineRule="exact"/>
              <w:ind w:firstLine="480"/>
              <w:rPr>
                <w:rFonts w:ascii="Times New Roman" w:hAnsi="Times New Roman" w:cs="Times New Roman" w:eastAsiaTheme="majorEastAsia"/>
                <w:color w:val="000000" w:themeColor="text1"/>
                <w:sz w:val="24"/>
                <w:szCs w:val="24"/>
                <w14:textFill>
                  <w14:solidFill>
                    <w14:schemeClr w14:val="tx1"/>
                  </w14:solidFill>
                </w14:textFill>
              </w:rPr>
            </w:pPr>
            <w:r>
              <w:rPr>
                <w:rFonts w:ascii="Times New Roman" w:hAnsi="Times New Roman" w:cs="Times New Roman" w:eastAsiaTheme="majorEastAsia"/>
                <w:color w:val="000000" w:themeColor="text1"/>
                <w:sz w:val="24"/>
                <w:szCs w:val="24"/>
                <w14:textFill>
                  <w14:solidFill>
                    <w14:schemeClr w14:val="tx1"/>
                  </w14:solidFill>
                </w14:textFill>
              </w:rPr>
              <w:t>巴彦淖尔市医院、巴彦淖尔市中医医院要保持现有自治区级领先重点学科的基础上，争取各建设完成2个以上领先重点学科；临河区人民医院、临河区妇幼保健院、乌拉特前旗人民医院、乌拉特前旗中蒙医院、乌拉特前旗妇幼保健院、五原县人民医院要力争各建设完成1个自治区级领先重点学科；</w:t>
            </w:r>
          </w:p>
          <w:p>
            <w:pPr>
              <w:spacing w:line="460" w:lineRule="exact"/>
              <w:ind w:firstLine="480"/>
              <w:rPr>
                <w:rFonts w:ascii="Times New Roman" w:hAnsi="Times New Roman" w:cs="Times New Roman" w:eastAsiaTheme="majorEastAsia"/>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所有旗县区建成卫生健康云数据中心，所有医疗机构信息系统全部云上部署；全民健康信息平台达到国家成熟度测评四级甲等水平；二级及以上医疗机构全面建成基于云数据中心的医院信息平台，全市二级及以上公立医院电子病历应用水平达到5级及以上标准，每个旗县区建成至少1个“互联网医院”</w:t>
            </w:r>
          </w:p>
        </w:tc>
      </w:tr>
      <w:bookmarkEnd w:id="196"/>
    </w:tbl>
    <w:p>
      <w:pPr>
        <w:pStyle w:val="3"/>
        <w:keepNext w:val="0"/>
        <w:keepLines w:val="0"/>
        <w:spacing w:line="600" w:lineRule="exact"/>
        <w:ind w:firstLine="643"/>
        <w:rPr>
          <w:rFonts w:ascii="Times New Roman" w:hAnsi="Times New Roman" w:eastAsia="楷体_GB2312" w:cs="Times New Roman"/>
        </w:rPr>
      </w:pPr>
      <w:bookmarkStart w:id="197" w:name="_Toc110018719"/>
      <w:bookmarkStart w:id="198" w:name="_Toc110613681"/>
      <w:bookmarkStart w:id="199" w:name="_Toc119179997"/>
      <w:bookmarkStart w:id="200" w:name="_Toc102134317"/>
      <w:r>
        <w:rPr>
          <w:rFonts w:hint="eastAsia" w:ascii="Times New Roman" w:hAnsi="Times New Roman" w:eastAsia="楷体_GB2312" w:cs="Times New Roman"/>
        </w:rPr>
        <w:t>（七）深化医药卫生体制改革</w:t>
      </w:r>
      <w:bookmarkEnd w:id="197"/>
      <w:bookmarkEnd w:id="198"/>
      <w:bookmarkEnd w:id="199"/>
    </w:p>
    <w:p>
      <w:pPr>
        <w:spacing w:line="600" w:lineRule="exact"/>
        <w:ind w:firstLine="643"/>
        <w:rPr>
          <w:rFonts w:ascii="Times New Roman" w:hAnsi="Times New Roman" w:cs="Times New Roman"/>
          <w:color w:val="000000" w:themeColor="text1"/>
          <w:szCs w:val="32"/>
          <w14:textFill>
            <w14:solidFill>
              <w14:schemeClr w14:val="tx1"/>
            </w14:solidFill>
          </w14:textFill>
        </w:rPr>
      </w:pPr>
      <w:bookmarkStart w:id="201" w:name="_Toc110613682"/>
      <w:bookmarkStart w:id="202" w:name="_Toc119179998"/>
      <w:r>
        <w:rPr>
          <w:rStyle w:val="22"/>
          <w:rFonts w:ascii="Times New Roman" w:hAnsi="Times New Roman" w:cs="Times New Roman"/>
        </w:rPr>
        <w:t>1、深化分级诊疗制度改革</w:t>
      </w:r>
      <w:bookmarkEnd w:id="201"/>
      <w:bookmarkEnd w:id="202"/>
      <w:r>
        <w:rPr>
          <w:rFonts w:ascii="Times New Roman" w:hAnsi="Times New Roman" w:eastAsia="仿宋" w:cs="Times New Roman"/>
          <w:b/>
          <w:bCs/>
          <w:color w:val="000000" w:themeColor="text1"/>
          <w:szCs w:val="32"/>
          <w14:textFill>
            <w14:solidFill>
              <w14:schemeClr w14:val="tx1"/>
            </w14:solidFill>
          </w14:textFill>
        </w:rPr>
        <w:t>。</w:t>
      </w:r>
      <w:bookmarkEnd w:id="200"/>
      <w:r>
        <w:rPr>
          <w:rFonts w:ascii="Times New Roman" w:hAnsi="Times New Roman" w:cs="Times New Roman"/>
          <w:bCs/>
          <w:color w:val="000000" w:themeColor="text1"/>
          <w:szCs w:val="32"/>
          <w14:textFill>
            <w14:solidFill>
              <w14:schemeClr w14:val="tx1"/>
            </w14:solidFill>
          </w14:textFill>
        </w:rPr>
        <w:t>统筹全市卫生健康资源布局，以“一体化”的利益共享机制为保证，深化城市“医疗集团”、和“专科联盟”改革，</w:t>
      </w:r>
      <w:r>
        <w:rPr>
          <w:rFonts w:ascii="Times New Roman" w:hAnsi="Times New Roman" w:cs="Times New Roman"/>
          <w:color w:val="000000" w:themeColor="text1"/>
          <w:szCs w:val="32"/>
          <w14:textFill>
            <w14:solidFill>
              <w14:schemeClr w14:val="tx1"/>
            </w14:solidFill>
          </w14:textFill>
        </w:rPr>
        <w:t>推进以紧密型医共体为依托的上下联通、资源共享的医联体内循环。建立完善基层医疗卫生机构与公立医院、专业公共卫生机构、社会办医院之间的分工协作机制，实现功能整合、分工协作、上下联动、防治结合。提高区域内重点疾病诊治能力，共建区域检验中心和影像中心，</w:t>
      </w:r>
      <w:r>
        <w:rPr>
          <w:rFonts w:ascii="Times New Roman" w:hAnsi="Times New Roman" w:cs="Times New Roman"/>
          <w:color w:val="000000" w:themeColor="text1"/>
          <w:szCs w:val="32"/>
          <w:shd w:val="clear" w:color="auto" w:fill="FFFFFF"/>
          <w14:textFill>
            <w14:solidFill>
              <w14:schemeClr w14:val="tx1"/>
            </w14:solidFill>
          </w14:textFill>
        </w:rPr>
        <w:t>实现检验、检查结果互联互通互认，</w:t>
      </w:r>
      <w:r>
        <w:rPr>
          <w:rFonts w:ascii="Times New Roman" w:hAnsi="Times New Roman" w:cs="Times New Roman"/>
          <w:color w:val="000000" w:themeColor="text1"/>
          <w:szCs w:val="32"/>
          <w14:textFill>
            <w14:solidFill>
              <w14:schemeClr w14:val="tx1"/>
            </w14:solidFill>
          </w14:textFill>
        </w:rPr>
        <w:t>形成“基层检查+上级诊断+区域互认”的新型诊疗服务模式，实现“大病不出市、常见病不出县、一般病在基层”的分级诊疗格局。深化基层医疗卫生机构综合改革，健全网络化城乡基层医疗卫生服务运行机制，全面推行苏木乡镇、嘎查村卫生服务一体化管理，提高服务质量和效率。力争到2025年，基本实现基层首诊、双向转诊、上下联动、急慢分治目标。</w:t>
      </w:r>
    </w:p>
    <w:p>
      <w:pPr>
        <w:spacing w:line="600" w:lineRule="exact"/>
        <w:ind w:firstLine="643"/>
        <w:rPr>
          <w:rFonts w:ascii="Times New Roman" w:hAnsi="Times New Roman" w:cs="Times New Roman"/>
          <w:color w:val="000000" w:themeColor="text1"/>
          <w:szCs w:val="32"/>
          <w14:textFill>
            <w14:solidFill>
              <w14:schemeClr w14:val="tx1"/>
            </w14:solidFill>
          </w14:textFill>
        </w:rPr>
      </w:pPr>
      <w:bookmarkStart w:id="203" w:name="_Toc119179999"/>
      <w:bookmarkStart w:id="204" w:name="_Toc110613683"/>
      <w:bookmarkStart w:id="205" w:name="_Toc102134319"/>
      <w:r>
        <w:rPr>
          <w:rStyle w:val="22"/>
          <w:rFonts w:ascii="Times New Roman" w:hAnsi="Times New Roman" w:cs="Times New Roman"/>
        </w:rPr>
        <w:t>2、深化现代医院管理制度改革</w:t>
      </w:r>
      <w:bookmarkEnd w:id="203"/>
      <w:bookmarkEnd w:id="204"/>
      <w:r>
        <w:rPr>
          <w:rFonts w:ascii="Times New Roman" w:hAnsi="Times New Roman" w:cs="Times New Roman"/>
          <w:color w:val="000000" w:themeColor="text1"/>
          <w:szCs w:val="32"/>
          <w14:textFill>
            <w14:solidFill>
              <w14:schemeClr w14:val="tx1"/>
            </w14:solidFill>
          </w14:textFill>
        </w:rPr>
        <w:t>。深入推进建立健全现代化医院管理制度试点。落实党委领导下的院长负责制。强化公立医疗机构成本核算，全面推进预算管理和精细化管理。深入推进治理结构、人事薪酬、编制管理和绩效考核改革工作。健全医疗卫生机构和公立医院综合改革绩效评价机制，综合运用好评价结果。建立价格科学确定、动态调整机制，持续优化医疗服务价格结构。做好公立医院发展规划、章程制定、重点项目实施、财政投入、运行监管等。</w:t>
      </w:r>
    </w:p>
    <w:p>
      <w:pPr>
        <w:spacing w:line="600" w:lineRule="exact"/>
        <w:ind w:firstLine="643"/>
        <w:rPr>
          <w:rFonts w:ascii="Times New Roman" w:hAnsi="Times New Roman" w:cs="Times New Roman"/>
          <w:color w:val="000000" w:themeColor="text1"/>
          <w:szCs w:val="32"/>
          <w14:textFill>
            <w14:solidFill>
              <w14:schemeClr w14:val="tx1"/>
            </w14:solidFill>
          </w14:textFill>
        </w:rPr>
      </w:pPr>
      <w:bookmarkStart w:id="206" w:name="_Toc119180000"/>
      <w:bookmarkStart w:id="207" w:name="_Toc110613684"/>
      <w:r>
        <w:rPr>
          <w:rStyle w:val="22"/>
          <w:rFonts w:ascii="Times New Roman" w:hAnsi="Times New Roman" w:cs="Times New Roman"/>
        </w:rPr>
        <w:t>3、深化医疗保障制度改革</w:t>
      </w:r>
      <w:bookmarkEnd w:id="206"/>
      <w:bookmarkEnd w:id="207"/>
      <w:r>
        <w:rPr>
          <w:rFonts w:ascii="Times New Roman" w:hAnsi="Times New Roman" w:eastAsia="仿宋" w:cs="Times New Roman"/>
          <w:b/>
          <w:bCs/>
          <w:color w:val="000000" w:themeColor="text1"/>
          <w:szCs w:val="32"/>
          <w14:textFill>
            <w14:solidFill>
              <w14:schemeClr w14:val="tx1"/>
            </w14:solidFill>
          </w14:textFill>
        </w:rPr>
        <w:t>。</w:t>
      </w:r>
      <w:bookmarkEnd w:id="205"/>
      <w:r>
        <w:rPr>
          <w:rFonts w:ascii="Times New Roman" w:hAnsi="Times New Roman" w:cs="Times New Roman"/>
          <w:color w:val="000000" w:themeColor="text1"/>
          <w:szCs w:val="32"/>
          <w14:textFill>
            <w14:solidFill>
              <w14:schemeClr w14:val="tx1"/>
            </w14:solidFill>
          </w14:textFill>
        </w:rPr>
        <w:t>加快建成覆盖全民、城乡统筹、权责清晰、保障适度、可持续的多层次医疗保障体系，通过统一制度、完善政策、健全机制、提升服务，增强医疗保障的公平性、协调性，发挥医保基金战略性购买作用，推进医疗保障和医药服务高质量协同发展，促进健康巴彦淖尔行动。到2025年，医疗保障制度更加成熟定型，基本完成待遇保障、筹资运行、医保支付、基金监管等重要机制和医药服务供给、医保管理服务等改革。健全医疗救治和疾病应急救助制度。加快建立医疗纠纷第三方调解机制，完善医疗纠纷处理机制。将符合条件的互联网医疗服务纳入医保支付范围，落实异地就医结算。</w:t>
      </w:r>
    </w:p>
    <w:p>
      <w:pPr>
        <w:spacing w:line="600" w:lineRule="exact"/>
        <w:ind w:firstLine="643"/>
        <w:rPr>
          <w:rFonts w:ascii="Times New Roman" w:hAnsi="Times New Roman" w:cs="Times New Roman"/>
          <w:szCs w:val="32"/>
        </w:rPr>
      </w:pPr>
      <w:bookmarkStart w:id="208" w:name="_Toc119180001"/>
      <w:bookmarkStart w:id="209" w:name="_Toc110613685"/>
      <w:bookmarkStart w:id="210" w:name="_Toc102134320"/>
      <w:r>
        <w:rPr>
          <w:rStyle w:val="22"/>
          <w:rFonts w:ascii="Times New Roman" w:hAnsi="Times New Roman" w:cs="Times New Roman"/>
        </w:rPr>
        <w:t>4、深化药品保障制度改革</w:t>
      </w:r>
      <w:bookmarkEnd w:id="208"/>
      <w:bookmarkEnd w:id="209"/>
      <w:r>
        <w:rPr>
          <w:rFonts w:ascii="Times New Roman" w:hAnsi="Times New Roman" w:eastAsia="仿宋" w:cs="Times New Roman"/>
          <w:b/>
          <w:bCs/>
          <w:color w:val="000000" w:themeColor="text1"/>
          <w:szCs w:val="32"/>
          <w14:textFill>
            <w14:solidFill>
              <w14:schemeClr w14:val="tx1"/>
            </w14:solidFill>
          </w14:textFill>
        </w:rPr>
        <w:t>。</w:t>
      </w:r>
      <w:bookmarkEnd w:id="210"/>
      <w:r>
        <w:rPr>
          <w:rFonts w:ascii="Times New Roman" w:hAnsi="Times New Roman" w:cs="Times New Roman"/>
          <w:szCs w:val="32"/>
        </w:rPr>
        <w:t>贯彻落实国家基本药物制度，推动各级各类医疗机构全面配备、优先使用基本药物，推进特殊人群基本药物保障。健全药品供应保障机制，防范药品供应风险，守住安全底线。完善自治区药物政策体系，加强政策措施跟踪评价。做好短缺药品保供稳价工作，完善自治区短缺药品清单管理制度，强化清单药品重点监测和供应保障。统筹开展药品使用监测，建立以基本药物为重点的药品临床综合评价体系。</w:t>
      </w:r>
    </w:p>
    <w:p>
      <w:pPr>
        <w:spacing w:line="600" w:lineRule="exact"/>
        <w:ind w:firstLine="643"/>
        <w:rPr>
          <w:rFonts w:ascii="Times New Roman" w:hAnsi="Times New Roman" w:cs="Times New Roman"/>
          <w:color w:val="000000" w:themeColor="text1"/>
          <w:szCs w:val="32"/>
          <w14:textFill>
            <w14:solidFill>
              <w14:schemeClr w14:val="tx1"/>
            </w14:solidFill>
          </w14:textFill>
        </w:rPr>
      </w:pPr>
      <w:bookmarkStart w:id="211" w:name="_Toc119180002"/>
      <w:bookmarkStart w:id="212" w:name="_Toc110613686"/>
      <w:bookmarkStart w:id="213" w:name="_Toc102134321"/>
      <w:r>
        <w:rPr>
          <w:rStyle w:val="22"/>
          <w:rFonts w:ascii="Times New Roman" w:hAnsi="Times New Roman" w:cs="Times New Roman"/>
        </w:rPr>
        <w:t>5、深化综合监管制度改革</w:t>
      </w:r>
      <w:bookmarkEnd w:id="211"/>
      <w:bookmarkEnd w:id="212"/>
      <w:r>
        <w:rPr>
          <w:rFonts w:ascii="Times New Roman" w:hAnsi="Times New Roman" w:eastAsia="仿宋" w:cs="Times New Roman"/>
          <w:b/>
          <w:bCs/>
          <w:color w:val="000000" w:themeColor="text1"/>
          <w:szCs w:val="32"/>
          <w14:textFill>
            <w14:solidFill>
              <w14:schemeClr w14:val="tx1"/>
            </w14:solidFill>
          </w14:textFill>
        </w:rPr>
        <w:t>。</w:t>
      </w:r>
      <w:bookmarkEnd w:id="213"/>
      <w:r>
        <w:rPr>
          <w:rFonts w:ascii="Times New Roman" w:hAnsi="Times New Roman" w:cs="Times New Roman"/>
          <w:color w:val="000000" w:themeColor="text1"/>
          <w:szCs w:val="32"/>
          <w14:textFill>
            <w14:solidFill>
              <w14:schemeClr w14:val="tx1"/>
            </w14:solidFill>
          </w14:textFill>
        </w:rPr>
        <w:t>建立健全机构自治、行业自律、政府监管、社会监督相结合的卫生健康综合监督管理体系。建立部门沟通协商机制，加强制度衔接和工作配合。加强卫生健康监督执法、食品安全监测和职业健康治理体系建设。落实食品安全标准体系，完善食品安全监测体系。加强食源性疾病监测和地方标准管理。建立医疗卫生机构绩效评估制度。建立医疗卫生机构、人员等信用记录制度，纳入全国信用信息共享平台。支持培育医疗卫生行业组织，在制定行业管理规范和技术标准、规范执业行为、维护行业信誉、调解处理服务纠纷等方面更好发挥作用。</w:t>
      </w:r>
    </w:p>
    <w:p>
      <w:pPr>
        <w:pStyle w:val="3"/>
        <w:keepNext w:val="0"/>
        <w:keepLines w:val="0"/>
        <w:spacing w:line="600" w:lineRule="exact"/>
        <w:ind w:firstLine="643"/>
        <w:rPr>
          <w:rFonts w:ascii="Times New Roman" w:hAnsi="Times New Roman" w:eastAsia="楷体_GB2312" w:cs="Times New Roman"/>
        </w:rPr>
      </w:pPr>
      <w:bookmarkStart w:id="214" w:name="_Toc119180003"/>
      <w:bookmarkStart w:id="215" w:name="_Toc110018720"/>
      <w:bookmarkStart w:id="216" w:name="_Toc110613687"/>
      <w:r>
        <w:rPr>
          <w:rFonts w:hint="eastAsia" w:ascii="Times New Roman" w:hAnsi="Times New Roman" w:eastAsia="楷体_GB2312" w:cs="Times New Roman"/>
        </w:rPr>
        <w:t>（八）统筹推进行业党建和医德行风建设</w:t>
      </w:r>
      <w:bookmarkEnd w:id="214"/>
      <w:bookmarkEnd w:id="215"/>
      <w:bookmarkEnd w:id="216"/>
    </w:p>
    <w:p>
      <w:pPr>
        <w:spacing w:line="600" w:lineRule="exact"/>
        <w:ind w:firstLine="643"/>
        <w:rPr>
          <w:rFonts w:ascii="Times New Roman" w:hAnsi="Times New Roman" w:eastAsia="黑体" w:cs="Times New Roman"/>
          <w:color w:val="000000" w:themeColor="text1"/>
          <w:szCs w:val="32"/>
          <w14:textFill>
            <w14:solidFill>
              <w14:schemeClr w14:val="tx1"/>
            </w14:solidFill>
          </w14:textFill>
        </w:rPr>
      </w:pPr>
      <w:bookmarkStart w:id="217" w:name="_Toc110613688"/>
      <w:bookmarkStart w:id="218" w:name="_Toc119180004"/>
      <w:r>
        <w:rPr>
          <w:rStyle w:val="22"/>
          <w:rFonts w:ascii="Times New Roman" w:hAnsi="Times New Roman" w:cs="Times New Roman"/>
        </w:rPr>
        <w:t>1、不断深化全面从严治党，推进落实公立医院党组织领导下的院长负责制</w:t>
      </w:r>
      <w:bookmarkEnd w:id="217"/>
      <w:bookmarkEnd w:id="218"/>
      <w:r>
        <w:rPr>
          <w:rFonts w:ascii="Times New Roman" w:hAnsi="Times New Roman" w:eastAsia="黑体" w:cs="Times New Roman"/>
          <w:color w:val="000000" w:themeColor="text1"/>
          <w:szCs w:val="32"/>
          <w14:textFill>
            <w14:solidFill>
              <w14:schemeClr w14:val="tx1"/>
            </w14:solidFill>
          </w14:textFill>
        </w:rPr>
        <w:t>。</w:t>
      </w:r>
      <w:r>
        <w:rPr>
          <w:rFonts w:ascii="Times New Roman" w:hAnsi="Times New Roman" w:cs="Times New Roman"/>
          <w:color w:val="000000" w:themeColor="text1"/>
          <w:szCs w:val="32"/>
          <w14:textFill>
            <w14:solidFill>
              <w14:schemeClr w14:val="tx1"/>
            </w14:solidFill>
          </w14:textFill>
        </w:rPr>
        <w:t>公立医院党组织要充分发挥把方向、管大局、作决策、促改革、保落实的领导作用，坚持以党的政治建设为统领，采取理论学习、中心组学习、专题讲座培训等形式，切实把医院党员干部的思想和行动统一到党的二十大精神上。以完善议事决策制度为重点，推动医院党组织领导下的院长负责制落实到位。坚持民主集中制原则，集体研究决定医院重大问题，并按照分工抓好组织实施，支持院长依法依规独立负责地行使职权。健全完善医院党组织会议和院长办公会议事规则，落实书记、院长定期沟通制度和党组织领导下的院长负责制执行情况报告制度，着力构建党组织统一领导、党政分工合作、协调运行的工作机制。持之以恒正风肃纪反腐，以优化营商环境为契机，把政治性警示教育作为重要任务和常态举措，强化监督执纪问责。</w:t>
      </w:r>
    </w:p>
    <w:p>
      <w:pPr>
        <w:spacing w:line="600" w:lineRule="exact"/>
        <w:ind w:firstLine="643"/>
        <w:rPr>
          <w:rFonts w:ascii="Times New Roman" w:hAnsi="Times New Roman" w:cs="Times New Roman"/>
          <w:color w:val="000000" w:themeColor="text1"/>
          <w:szCs w:val="32"/>
          <w14:textFill>
            <w14:solidFill>
              <w14:schemeClr w14:val="tx1"/>
            </w14:solidFill>
          </w14:textFill>
        </w:rPr>
      </w:pPr>
      <w:bookmarkStart w:id="219" w:name="_Toc110613689"/>
      <w:bookmarkStart w:id="220" w:name="_Toc119180005"/>
      <w:r>
        <w:rPr>
          <w:rStyle w:val="22"/>
          <w:rFonts w:ascii="Times New Roman" w:hAnsi="Times New Roman" w:cs="Times New Roman"/>
        </w:rPr>
        <w:t>2、以构建党建工作质量评价体系为抓手，推动基层党组织和党员队伍建设规范提升</w:t>
      </w:r>
      <w:bookmarkEnd w:id="219"/>
      <w:bookmarkEnd w:id="220"/>
      <w:r>
        <w:rPr>
          <w:rFonts w:ascii="Times New Roman" w:hAnsi="Times New Roman" w:cs="Times New Roman"/>
          <w:color w:val="000000" w:themeColor="text1"/>
          <w:szCs w:val="32"/>
          <w14:textFill>
            <w14:solidFill>
              <w14:schemeClr w14:val="tx1"/>
            </w14:solidFill>
          </w14:textFill>
        </w:rPr>
        <w:t>。要以加强业务科室党支部建设为重点，从基础工作、基本制度、基本能力入手，推进基层党组织标准化、规范化建设，强化基层党组织政治功能。健全完善党组织参与重大事项决策、发挥政治把关作用的制度机制。党支部书记一般由内设机构负责人中的党员担任。继续实施医院临床医技科室党支部书记“双带头人”培育工程，着力培养党性强、业务精、有威信、肯奉献的党员临床医技骨干担任党支部书记。坚持把政治标准放在首位，注重在医疗专家、学科带头人、优秀青年医务人员中发展党员。继续落实把业务骨干培养成党员、把党员培养成医疗、教学、科研、管理骨干的“双培养”机制。通过设立党员先锋岗、党员示范岗、党员责任区和开展党员志愿服务等形式，引导党员立足岗位发挥先锋模范作用。建立健全党组织应对突发事件工作长效机制，组建应对新冠疫情党员先锋队，做好常态化疫情防控和医疗服务，不断织密织牢重大突发事件的党组织防线。</w:t>
      </w:r>
    </w:p>
    <w:p>
      <w:pPr>
        <w:spacing w:line="600" w:lineRule="exact"/>
        <w:ind w:firstLine="643"/>
        <w:rPr>
          <w:rFonts w:ascii="Times New Roman" w:hAnsi="Times New Roman" w:cs="Times New Roman"/>
          <w:color w:val="000000" w:themeColor="text1"/>
          <w:szCs w:val="32"/>
          <w14:textFill>
            <w14:solidFill>
              <w14:schemeClr w14:val="tx1"/>
            </w14:solidFill>
          </w14:textFill>
        </w:rPr>
      </w:pPr>
      <w:bookmarkStart w:id="221" w:name="_Toc110613690"/>
      <w:bookmarkStart w:id="222" w:name="_Toc119180006"/>
      <w:r>
        <w:rPr>
          <w:rStyle w:val="22"/>
          <w:rFonts w:ascii="Times New Roman" w:hAnsi="Times New Roman" w:cs="Times New Roman"/>
        </w:rPr>
        <w:t>3、加强思想政治工作和医德医风建设，推进党建</w:t>
      </w:r>
      <w:bookmarkEnd w:id="221"/>
      <w:r>
        <w:rPr>
          <w:rStyle w:val="22"/>
          <w:rFonts w:ascii="Times New Roman" w:hAnsi="Times New Roman" w:cs="Times New Roman"/>
        </w:rPr>
        <w:t>与业务融合发展</w:t>
      </w:r>
      <w:bookmarkEnd w:id="222"/>
      <w:r>
        <w:rPr>
          <w:rFonts w:ascii="Times New Roman" w:hAnsi="Times New Roman" w:cs="Times New Roman"/>
          <w:color w:val="000000" w:themeColor="text1"/>
          <w:szCs w:val="32"/>
          <w14:textFill>
            <w14:solidFill>
              <w14:schemeClr w14:val="tx1"/>
            </w14:solidFill>
          </w14:textFill>
        </w:rPr>
        <w:t>。持续把抓好思想政治工作和医德医风建设作为公立医院党组织的重要任务。健全党组织主导、院长负责、党务行政工作机构齐抓共管的医德医风工作机制，不断创新思想政治工作内容、方法和载体，强化医德医风教育，构建和谐医患关系。完善医务人员医德考评制度，实行医德“一票否决”。积极推进医院精神文明建设，积极培育和践行社会主义核心价值观，引导医务人员大力弘扬伟大抗疫精神和崇高职业精神。注重发掘、凝练医院特色文化，形成具有自身特点的文化体系，以红色文化推进公立医院的高质量发展。关心爱护医务人员身心健康，保障和维护医务人员的合法权益，增强医务人员职业荣誉感。</w:t>
      </w:r>
    </w:p>
    <w:p>
      <w:pPr>
        <w:pStyle w:val="2"/>
        <w:keepNext w:val="0"/>
        <w:keepLines w:val="0"/>
        <w:spacing w:line="600" w:lineRule="exact"/>
        <w:ind w:firstLine="640"/>
        <w:rPr>
          <w:rFonts w:ascii="Times New Roman" w:hAnsi="Times New Roman" w:cs="Times New Roman"/>
          <w:szCs w:val="32"/>
        </w:rPr>
      </w:pPr>
      <w:bookmarkStart w:id="223" w:name="_Toc110018721"/>
      <w:bookmarkStart w:id="224" w:name="_Toc119180007"/>
      <w:bookmarkStart w:id="225" w:name="_Toc102134322"/>
      <w:bookmarkStart w:id="226" w:name="_Toc110613691"/>
      <w:r>
        <w:rPr>
          <w:rFonts w:ascii="Times New Roman" w:hAnsi="Times New Roman" w:cs="Times New Roman"/>
          <w:szCs w:val="32"/>
        </w:rPr>
        <w:t>四、保障措施</w:t>
      </w:r>
      <w:bookmarkEnd w:id="223"/>
      <w:bookmarkEnd w:id="224"/>
      <w:bookmarkEnd w:id="225"/>
      <w:bookmarkEnd w:id="226"/>
    </w:p>
    <w:p>
      <w:pPr>
        <w:pStyle w:val="3"/>
        <w:keepNext w:val="0"/>
        <w:keepLines w:val="0"/>
        <w:spacing w:line="600" w:lineRule="exact"/>
        <w:ind w:firstLine="643"/>
        <w:rPr>
          <w:rFonts w:ascii="Times New Roman" w:hAnsi="Times New Roman" w:eastAsia="楷体_GB2312" w:cs="Times New Roman"/>
        </w:rPr>
      </w:pPr>
      <w:bookmarkStart w:id="227" w:name="_Toc102134323"/>
      <w:bookmarkStart w:id="228" w:name="_Toc110018722"/>
      <w:bookmarkStart w:id="229" w:name="_Toc110613692"/>
      <w:bookmarkStart w:id="230" w:name="_Toc119180008"/>
      <w:r>
        <w:rPr>
          <w:rFonts w:hint="eastAsia" w:ascii="Times New Roman" w:hAnsi="Times New Roman" w:eastAsia="楷体_GB2312" w:cs="Times New Roman"/>
        </w:rPr>
        <w:t>（一）强化组织领导</w:t>
      </w:r>
      <w:bookmarkEnd w:id="227"/>
      <w:bookmarkEnd w:id="228"/>
      <w:bookmarkEnd w:id="229"/>
      <w:bookmarkEnd w:id="230"/>
    </w:p>
    <w:p>
      <w:pPr>
        <w:spacing w:line="600" w:lineRule="exact"/>
        <w:ind w:firstLine="640"/>
        <w:rPr>
          <w:rFonts w:ascii="Times New Roman" w:hAnsi="Times New Roman" w:cs="Times New Roman"/>
          <w:color w:val="000000" w:themeColor="text1"/>
          <w:szCs w:val="32"/>
          <w14:textFill>
            <w14:solidFill>
              <w14:schemeClr w14:val="tx1"/>
            </w14:solidFill>
          </w14:textFill>
        </w:rPr>
      </w:pPr>
      <w:r>
        <w:rPr>
          <w:rFonts w:ascii="Times New Roman" w:hAnsi="Times New Roman" w:cs="Times New Roman"/>
          <w:color w:val="000000" w:themeColor="text1"/>
          <w:szCs w:val="32"/>
          <w14:textFill>
            <w14:solidFill>
              <w14:schemeClr w14:val="tx1"/>
            </w14:solidFill>
          </w14:textFill>
        </w:rPr>
        <w:t>强化卫生健康事业发展及健康巴彦淖尔建设的领导机制和制度建设，把保障人民健康作为经济社会发展的重要目标任务，积极推动“将健康融入所有政策”，构建党委统一领导、政府统筹协调、党政齐抓共管的工作格局。卫生健康部门要强化责任担当，财政、编办、发改、人社、医保、教育、生态环境、住建、农业、林草、市场监管、大数据中心、科技、民政、文旅、自然资源等部门按照各自职责，共同推进规划落实。发挥规划制定、实施、监测和评估的责任主体作用，健全工作机制，重点把控好重大政策决策、重大工程项目的审议研究，统筹推进规划各项工作任务。</w:t>
      </w:r>
    </w:p>
    <w:p>
      <w:pPr>
        <w:pStyle w:val="3"/>
        <w:keepNext w:val="0"/>
        <w:keepLines w:val="0"/>
        <w:spacing w:line="600" w:lineRule="exact"/>
        <w:ind w:firstLine="643"/>
        <w:rPr>
          <w:rFonts w:ascii="Times New Roman" w:hAnsi="Times New Roman" w:eastAsia="楷体_GB2312" w:cs="Times New Roman"/>
        </w:rPr>
      </w:pPr>
      <w:bookmarkStart w:id="231" w:name="_Toc110018723"/>
      <w:bookmarkStart w:id="232" w:name="_Toc102134324"/>
      <w:bookmarkStart w:id="233" w:name="_Toc110613693"/>
      <w:bookmarkStart w:id="234" w:name="_Toc119180009"/>
      <w:r>
        <w:rPr>
          <w:rFonts w:hint="eastAsia" w:ascii="Times New Roman" w:hAnsi="Times New Roman" w:eastAsia="楷体_GB2312" w:cs="Times New Roman"/>
        </w:rPr>
        <w:t>（二）落实财政保障</w:t>
      </w:r>
      <w:bookmarkEnd w:id="231"/>
      <w:bookmarkEnd w:id="232"/>
      <w:bookmarkEnd w:id="233"/>
      <w:bookmarkEnd w:id="234"/>
    </w:p>
    <w:p>
      <w:pPr>
        <w:spacing w:line="600" w:lineRule="exact"/>
        <w:ind w:firstLine="640"/>
        <w:rPr>
          <w:rFonts w:ascii="Times New Roman" w:hAnsi="Times New Roman" w:cs="Times New Roman"/>
          <w:color w:val="000000" w:themeColor="text1"/>
          <w:szCs w:val="32"/>
          <w14:textFill>
            <w14:solidFill>
              <w14:schemeClr w14:val="tx1"/>
            </w14:solidFill>
          </w14:textFill>
        </w:rPr>
      </w:pPr>
      <w:r>
        <w:rPr>
          <w:rFonts w:ascii="Times New Roman" w:hAnsi="Times New Roman" w:cs="Times New Roman"/>
          <w:color w:val="000000" w:themeColor="text1"/>
          <w:szCs w:val="32"/>
          <w14:textFill>
            <w14:solidFill>
              <w14:schemeClr w14:val="tx1"/>
            </w14:solidFill>
          </w14:textFill>
        </w:rPr>
        <w:t>完善职责明晰、分级负责的卫生健康财政投入机制，按照卫生健康领域事权和支出责任，市、旗县区两级政府落实各项投入政策，加强资金保障。优化财政支出结构，重点向公共卫生能力提升、医疗资源均衡布局、中医药传承创新、临床研究和科技创新、学科建设、人才培养和智慧健康服务体系建设等方面倾斜。完善政府主导、全社会参与的卫生健康多元化筹资投资机制，动员社会支持卫生健康事业发展，鼓励社会组织和企业投资，形成多元化筹资格局。</w:t>
      </w:r>
    </w:p>
    <w:p>
      <w:pPr>
        <w:pStyle w:val="3"/>
        <w:keepNext w:val="0"/>
        <w:keepLines w:val="0"/>
        <w:spacing w:line="600" w:lineRule="exact"/>
        <w:ind w:firstLine="643"/>
        <w:rPr>
          <w:rFonts w:ascii="Times New Roman" w:hAnsi="Times New Roman" w:eastAsia="楷体_GB2312" w:cs="Times New Roman"/>
        </w:rPr>
      </w:pPr>
      <w:bookmarkStart w:id="235" w:name="_Toc102134325"/>
      <w:bookmarkStart w:id="236" w:name="_Toc110018724"/>
      <w:bookmarkStart w:id="237" w:name="_Toc110613694"/>
      <w:bookmarkStart w:id="238" w:name="_Toc119180010"/>
      <w:r>
        <w:rPr>
          <w:rFonts w:hint="eastAsia" w:ascii="Times New Roman" w:hAnsi="Times New Roman" w:eastAsia="楷体_GB2312" w:cs="Times New Roman"/>
        </w:rPr>
        <w:t>（三）严格评估考核</w:t>
      </w:r>
      <w:bookmarkEnd w:id="235"/>
      <w:bookmarkEnd w:id="236"/>
      <w:bookmarkEnd w:id="237"/>
      <w:bookmarkEnd w:id="238"/>
    </w:p>
    <w:p>
      <w:pPr>
        <w:spacing w:line="600" w:lineRule="exact"/>
        <w:ind w:firstLine="640"/>
        <w:rPr>
          <w:rFonts w:ascii="Times New Roman" w:hAnsi="Times New Roman" w:cs="Times New Roman"/>
          <w:color w:val="000000" w:themeColor="text1"/>
          <w:szCs w:val="32"/>
          <w14:textFill>
            <w14:solidFill>
              <w14:schemeClr w14:val="tx1"/>
            </w14:solidFill>
          </w14:textFill>
        </w:rPr>
      </w:pPr>
      <w:r>
        <w:rPr>
          <w:rFonts w:ascii="Times New Roman" w:hAnsi="Times New Roman" w:cs="Times New Roman"/>
          <w:color w:val="000000" w:themeColor="text1"/>
          <w:szCs w:val="32"/>
          <w14:textFill>
            <w14:solidFill>
              <w14:schemeClr w14:val="tx1"/>
            </w14:solidFill>
          </w14:textFill>
        </w:rPr>
        <w:t>建立完善的规划监测评估机制，定期对规划实施情况开展评估，适时公开公示，接受群众监督。将卫生健康事业发展规划的主要指标与健康巴彦淖尔建设考核指标相衔接，不断完善考核评估方案，建立督查、考核工作机制。对督查、评估中发现的问题及时研究解决，对规划落实不力的部门和单位，强化问责追究，维护规划的权威性、严肃性，确保规划目标实现。</w:t>
      </w:r>
    </w:p>
    <w:sectPr>
      <w:footerReference r:id="rId11" w:type="default"/>
      <w:footerReference r:id="rId12" w:type="even"/>
      <w:pgSz w:w="11906" w:h="16838"/>
      <w:pgMar w:top="1588" w:right="1474" w:bottom="1588" w:left="1474" w:header="851" w:footer="992" w:gutter="0"/>
      <w:pgNumType w:start="1"/>
      <w:cols w:space="425" w:num="1"/>
      <w:docGrid w:type="linesAndChar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sz w:val="28"/>
        <w:szCs w:val="28"/>
      </w:rPr>
      <w:id w:val="-377391087"/>
      <w:docPartObj>
        <w:docPartGallery w:val="autotext"/>
      </w:docPartObj>
    </w:sdtPr>
    <w:sdtEndPr>
      <w:rPr>
        <w:rFonts w:asciiTheme="minorEastAsia" w:hAnsiTheme="minorEastAsia" w:eastAsiaTheme="minorEastAsia"/>
        <w:sz w:val="28"/>
        <w:szCs w:val="28"/>
      </w:rPr>
    </w:sdtEndPr>
    <w:sdtContent>
      <w:p>
        <w:pPr>
          <w:pStyle w:val="8"/>
          <w:ind w:firstLine="560"/>
          <w:jc w:val="right"/>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3</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sz w:val="28"/>
        <w:szCs w:val="28"/>
      </w:rPr>
      <w:id w:val="1334493199"/>
      <w:docPartObj>
        <w:docPartGallery w:val="autotext"/>
      </w:docPartObj>
    </w:sdtPr>
    <w:sdtEndPr>
      <w:rPr>
        <w:rFonts w:asciiTheme="minorEastAsia" w:hAnsiTheme="minorEastAsia" w:eastAsiaTheme="minorEastAsia"/>
        <w:sz w:val="28"/>
        <w:szCs w:val="28"/>
      </w:rPr>
    </w:sdtEndPr>
    <w:sdtContent>
      <w:p>
        <w:pPr>
          <w:pStyle w:val="8"/>
          <w:ind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4</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AF7"/>
    <w:rsid w:val="00000A47"/>
    <w:rsid w:val="00001547"/>
    <w:rsid w:val="000025D4"/>
    <w:rsid w:val="000041CA"/>
    <w:rsid w:val="00004457"/>
    <w:rsid w:val="00005FE2"/>
    <w:rsid w:val="000113B7"/>
    <w:rsid w:val="000162F7"/>
    <w:rsid w:val="00021064"/>
    <w:rsid w:val="00022839"/>
    <w:rsid w:val="00027C5D"/>
    <w:rsid w:val="00027F01"/>
    <w:rsid w:val="0003022C"/>
    <w:rsid w:val="000316F3"/>
    <w:rsid w:val="00034FFD"/>
    <w:rsid w:val="000375D3"/>
    <w:rsid w:val="00040288"/>
    <w:rsid w:val="000427FD"/>
    <w:rsid w:val="00044BAE"/>
    <w:rsid w:val="00047196"/>
    <w:rsid w:val="000523A2"/>
    <w:rsid w:val="00053693"/>
    <w:rsid w:val="00054E40"/>
    <w:rsid w:val="00055124"/>
    <w:rsid w:val="00055257"/>
    <w:rsid w:val="00057397"/>
    <w:rsid w:val="000579A6"/>
    <w:rsid w:val="0006397F"/>
    <w:rsid w:val="00066326"/>
    <w:rsid w:val="000663B5"/>
    <w:rsid w:val="000674FD"/>
    <w:rsid w:val="0007092F"/>
    <w:rsid w:val="00072A86"/>
    <w:rsid w:val="000745BD"/>
    <w:rsid w:val="00080104"/>
    <w:rsid w:val="0008209A"/>
    <w:rsid w:val="00085ACC"/>
    <w:rsid w:val="00093898"/>
    <w:rsid w:val="000A042A"/>
    <w:rsid w:val="000A2674"/>
    <w:rsid w:val="000A3027"/>
    <w:rsid w:val="000A3BF8"/>
    <w:rsid w:val="000A5695"/>
    <w:rsid w:val="000B2487"/>
    <w:rsid w:val="000B3808"/>
    <w:rsid w:val="000B3CA2"/>
    <w:rsid w:val="000C0103"/>
    <w:rsid w:val="000C2892"/>
    <w:rsid w:val="000D02E1"/>
    <w:rsid w:val="000D0BE4"/>
    <w:rsid w:val="000D1EA5"/>
    <w:rsid w:val="000D3A75"/>
    <w:rsid w:val="000D43BF"/>
    <w:rsid w:val="000D45C6"/>
    <w:rsid w:val="000D5D80"/>
    <w:rsid w:val="000D5E77"/>
    <w:rsid w:val="000E4094"/>
    <w:rsid w:val="000E46C3"/>
    <w:rsid w:val="000E6640"/>
    <w:rsid w:val="000F27DC"/>
    <w:rsid w:val="000F3B92"/>
    <w:rsid w:val="000F5447"/>
    <w:rsid w:val="000F5D05"/>
    <w:rsid w:val="000F679C"/>
    <w:rsid w:val="00102699"/>
    <w:rsid w:val="00107FCB"/>
    <w:rsid w:val="001105F8"/>
    <w:rsid w:val="00111029"/>
    <w:rsid w:val="00117468"/>
    <w:rsid w:val="001174A5"/>
    <w:rsid w:val="00120F95"/>
    <w:rsid w:val="00123E98"/>
    <w:rsid w:val="00130036"/>
    <w:rsid w:val="00131981"/>
    <w:rsid w:val="00132200"/>
    <w:rsid w:val="00133820"/>
    <w:rsid w:val="00134013"/>
    <w:rsid w:val="0013462D"/>
    <w:rsid w:val="001364E3"/>
    <w:rsid w:val="00136FA0"/>
    <w:rsid w:val="00140869"/>
    <w:rsid w:val="00141208"/>
    <w:rsid w:val="00142345"/>
    <w:rsid w:val="001433A2"/>
    <w:rsid w:val="001458F1"/>
    <w:rsid w:val="0014648F"/>
    <w:rsid w:val="00147343"/>
    <w:rsid w:val="001477E3"/>
    <w:rsid w:val="00150B56"/>
    <w:rsid w:val="0015184E"/>
    <w:rsid w:val="001561BB"/>
    <w:rsid w:val="00156FDE"/>
    <w:rsid w:val="00160881"/>
    <w:rsid w:val="00162586"/>
    <w:rsid w:val="00164089"/>
    <w:rsid w:val="001651B8"/>
    <w:rsid w:val="00170D68"/>
    <w:rsid w:val="00172EED"/>
    <w:rsid w:val="00172FB3"/>
    <w:rsid w:val="00172FD0"/>
    <w:rsid w:val="001735D3"/>
    <w:rsid w:val="00175C0F"/>
    <w:rsid w:val="0017694D"/>
    <w:rsid w:val="00177359"/>
    <w:rsid w:val="001777C7"/>
    <w:rsid w:val="00177C17"/>
    <w:rsid w:val="001802AE"/>
    <w:rsid w:val="00180DB3"/>
    <w:rsid w:val="00182EE8"/>
    <w:rsid w:val="0018310F"/>
    <w:rsid w:val="00184A36"/>
    <w:rsid w:val="00185CA1"/>
    <w:rsid w:val="00187A7F"/>
    <w:rsid w:val="00187F76"/>
    <w:rsid w:val="0019309D"/>
    <w:rsid w:val="001942AD"/>
    <w:rsid w:val="00196132"/>
    <w:rsid w:val="001963E6"/>
    <w:rsid w:val="001A201F"/>
    <w:rsid w:val="001A25B8"/>
    <w:rsid w:val="001A2F60"/>
    <w:rsid w:val="001A3D51"/>
    <w:rsid w:val="001A67A8"/>
    <w:rsid w:val="001A7313"/>
    <w:rsid w:val="001B28F2"/>
    <w:rsid w:val="001B2AA3"/>
    <w:rsid w:val="001B774E"/>
    <w:rsid w:val="001C4B11"/>
    <w:rsid w:val="001C744E"/>
    <w:rsid w:val="001C7B70"/>
    <w:rsid w:val="001C7E85"/>
    <w:rsid w:val="001D2605"/>
    <w:rsid w:val="001D2F35"/>
    <w:rsid w:val="001D6A7C"/>
    <w:rsid w:val="001D7D2E"/>
    <w:rsid w:val="001E33D1"/>
    <w:rsid w:val="001E4830"/>
    <w:rsid w:val="001E547E"/>
    <w:rsid w:val="001E63FE"/>
    <w:rsid w:val="001F7F5C"/>
    <w:rsid w:val="002007D4"/>
    <w:rsid w:val="0020669E"/>
    <w:rsid w:val="00215239"/>
    <w:rsid w:val="00221227"/>
    <w:rsid w:val="00222401"/>
    <w:rsid w:val="00223544"/>
    <w:rsid w:val="002270E9"/>
    <w:rsid w:val="00230EA5"/>
    <w:rsid w:val="002312E4"/>
    <w:rsid w:val="00232B6D"/>
    <w:rsid w:val="00233F9E"/>
    <w:rsid w:val="002349A5"/>
    <w:rsid w:val="0023596C"/>
    <w:rsid w:val="00235E92"/>
    <w:rsid w:val="002361B8"/>
    <w:rsid w:val="00236E5D"/>
    <w:rsid w:val="00237E2D"/>
    <w:rsid w:val="00243E38"/>
    <w:rsid w:val="00244987"/>
    <w:rsid w:val="00245F4F"/>
    <w:rsid w:val="00246FE8"/>
    <w:rsid w:val="002477FC"/>
    <w:rsid w:val="00252A1A"/>
    <w:rsid w:val="0025681C"/>
    <w:rsid w:val="00256F7A"/>
    <w:rsid w:val="002608B6"/>
    <w:rsid w:val="00265FD3"/>
    <w:rsid w:val="00270EF4"/>
    <w:rsid w:val="002727B1"/>
    <w:rsid w:val="002732BD"/>
    <w:rsid w:val="00274AEF"/>
    <w:rsid w:val="00276218"/>
    <w:rsid w:val="00280F3C"/>
    <w:rsid w:val="00281F28"/>
    <w:rsid w:val="00283A7B"/>
    <w:rsid w:val="00283AFA"/>
    <w:rsid w:val="00285758"/>
    <w:rsid w:val="00285F6F"/>
    <w:rsid w:val="00290E97"/>
    <w:rsid w:val="002966EB"/>
    <w:rsid w:val="00296F69"/>
    <w:rsid w:val="002A0EF1"/>
    <w:rsid w:val="002A1F59"/>
    <w:rsid w:val="002A3ABF"/>
    <w:rsid w:val="002A3CBE"/>
    <w:rsid w:val="002A7E1A"/>
    <w:rsid w:val="002B629F"/>
    <w:rsid w:val="002C422C"/>
    <w:rsid w:val="002C7A84"/>
    <w:rsid w:val="002D272E"/>
    <w:rsid w:val="002D60E6"/>
    <w:rsid w:val="002D6C5C"/>
    <w:rsid w:val="002E2AB3"/>
    <w:rsid w:val="002E2BE3"/>
    <w:rsid w:val="002E3F0F"/>
    <w:rsid w:val="002E5117"/>
    <w:rsid w:val="002E5E90"/>
    <w:rsid w:val="002E6572"/>
    <w:rsid w:val="002F06EB"/>
    <w:rsid w:val="002F1770"/>
    <w:rsid w:val="002F512C"/>
    <w:rsid w:val="002F63A3"/>
    <w:rsid w:val="002F702C"/>
    <w:rsid w:val="00301035"/>
    <w:rsid w:val="00302BBD"/>
    <w:rsid w:val="0030428E"/>
    <w:rsid w:val="00307388"/>
    <w:rsid w:val="0031152A"/>
    <w:rsid w:val="00315C97"/>
    <w:rsid w:val="003162C0"/>
    <w:rsid w:val="00316741"/>
    <w:rsid w:val="003178D7"/>
    <w:rsid w:val="00322FF5"/>
    <w:rsid w:val="003270AE"/>
    <w:rsid w:val="003328DD"/>
    <w:rsid w:val="003362D1"/>
    <w:rsid w:val="0033784F"/>
    <w:rsid w:val="00337AC1"/>
    <w:rsid w:val="00337BDD"/>
    <w:rsid w:val="00343D11"/>
    <w:rsid w:val="00346AD8"/>
    <w:rsid w:val="003604A4"/>
    <w:rsid w:val="00363899"/>
    <w:rsid w:val="00363A68"/>
    <w:rsid w:val="003669E3"/>
    <w:rsid w:val="00367AA7"/>
    <w:rsid w:val="0037102C"/>
    <w:rsid w:val="003710F3"/>
    <w:rsid w:val="003749A0"/>
    <w:rsid w:val="003755F2"/>
    <w:rsid w:val="00376C21"/>
    <w:rsid w:val="003775D7"/>
    <w:rsid w:val="00387DFD"/>
    <w:rsid w:val="003936DB"/>
    <w:rsid w:val="003949F1"/>
    <w:rsid w:val="00395226"/>
    <w:rsid w:val="00395714"/>
    <w:rsid w:val="00397597"/>
    <w:rsid w:val="003A0A4D"/>
    <w:rsid w:val="003A5D6E"/>
    <w:rsid w:val="003B06E2"/>
    <w:rsid w:val="003B0A46"/>
    <w:rsid w:val="003B109B"/>
    <w:rsid w:val="003B1448"/>
    <w:rsid w:val="003B1DAF"/>
    <w:rsid w:val="003B57F4"/>
    <w:rsid w:val="003C4749"/>
    <w:rsid w:val="003C630C"/>
    <w:rsid w:val="003D3DC8"/>
    <w:rsid w:val="003D5ACA"/>
    <w:rsid w:val="003D670E"/>
    <w:rsid w:val="003E00BF"/>
    <w:rsid w:val="003F28E5"/>
    <w:rsid w:val="003F4A7A"/>
    <w:rsid w:val="003F4AF8"/>
    <w:rsid w:val="003F7CEF"/>
    <w:rsid w:val="004035D6"/>
    <w:rsid w:val="00405906"/>
    <w:rsid w:val="0041070A"/>
    <w:rsid w:val="004123B5"/>
    <w:rsid w:val="00412606"/>
    <w:rsid w:val="00412ACB"/>
    <w:rsid w:val="00415A28"/>
    <w:rsid w:val="004213E2"/>
    <w:rsid w:val="00424C71"/>
    <w:rsid w:val="00425902"/>
    <w:rsid w:val="0042637A"/>
    <w:rsid w:val="004263BD"/>
    <w:rsid w:val="00427DCC"/>
    <w:rsid w:val="00434F6C"/>
    <w:rsid w:val="00440618"/>
    <w:rsid w:val="00440A38"/>
    <w:rsid w:val="00441F8C"/>
    <w:rsid w:val="004422C9"/>
    <w:rsid w:val="00442875"/>
    <w:rsid w:val="0044359D"/>
    <w:rsid w:val="0044450F"/>
    <w:rsid w:val="00444A56"/>
    <w:rsid w:val="004455C4"/>
    <w:rsid w:val="00445996"/>
    <w:rsid w:val="00447E2E"/>
    <w:rsid w:val="00452DDA"/>
    <w:rsid w:val="00453DCF"/>
    <w:rsid w:val="00454C63"/>
    <w:rsid w:val="00455442"/>
    <w:rsid w:val="00461B7E"/>
    <w:rsid w:val="00464C5F"/>
    <w:rsid w:val="00471E0F"/>
    <w:rsid w:val="004724F3"/>
    <w:rsid w:val="004754E0"/>
    <w:rsid w:val="00481B76"/>
    <w:rsid w:val="004834F5"/>
    <w:rsid w:val="004841ED"/>
    <w:rsid w:val="004865B0"/>
    <w:rsid w:val="0049072F"/>
    <w:rsid w:val="0049129E"/>
    <w:rsid w:val="00492A81"/>
    <w:rsid w:val="00496C47"/>
    <w:rsid w:val="0049739B"/>
    <w:rsid w:val="004A081D"/>
    <w:rsid w:val="004A2786"/>
    <w:rsid w:val="004A3F92"/>
    <w:rsid w:val="004A74B0"/>
    <w:rsid w:val="004B6819"/>
    <w:rsid w:val="004C3439"/>
    <w:rsid w:val="004C3AF5"/>
    <w:rsid w:val="004D0049"/>
    <w:rsid w:val="004D15B7"/>
    <w:rsid w:val="004D3313"/>
    <w:rsid w:val="004D4813"/>
    <w:rsid w:val="004D4B81"/>
    <w:rsid w:val="004E150E"/>
    <w:rsid w:val="004E2A67"/>
    <w:rsid w:val="004E4027"/>
    <w:rsid w:val="004E4EA0"/>
    <w:rsid w:val="004E685B"/>
    <w:rsid w:val="004F4C7A"/>
    <w:rsid w:val="00500A3E"/>
    <w:rsid w:val="0050157B"/>
    <w:rsid w:val="00501DA0"/>
    <w:rsid w:val="00503B3B"/>
    <w:rsid w:val="005040FC"/>
    <w:rsid w:val="00506047"/>
    <w:rsid w:val="005076FA"/>
    <w:rsid w:val="005101B1"/>
    <w:rsid w:val="005135DF"/>
    <w:rsid w:val="005146F8"/>
    <w:rsid w:val="00514C4D"/>
    <w:rsid w:val="00515E4D"/>
    <w:rsid w:val="00516D08"/>
    <w:rsid w:val="00521425"/>
    <w:rsid w:val="00522228"/>
    <w:rsid w:val="005227E4"/>
    <w:rsid w:val="00523232"/>
    <w:rsid w:val="0052438C"/>
    <w:rsid w:val="00524F27"/>
    <w:rsid w:val="00525AFC"/>
    <w:rsid w:val="00525BF5"/>
    <w:rsid w:val="00526431"/>
    <w:rsid w:val="00530AC5"/>
    <w:rsid w:val="0053437D"/>
    <w:rsid w:val="005345E1"/>
    <w:rsid w:val="005347FB"/>
    <w:rsid w:val="005349B4"/>
    <w:rsid w:val="00534FC6"/>
    <w:rsid w:val="00535F29"/>
    <w:rsid w:val="00540F70"/>
    <w:rsid w:val="005423F6"/>
    <w:rsid w:val="00543975"/>
    <w:rsid w:val="00546EA3"/>
    <w:rsid w:val="00551B26"/>
    <w:rsid w:val="00563AF1"/>
    <w:rsid w:val="00565865"/>
    <w:rsid w:val="00565F6D"/>
    <w:rsid w:val="0057148A"/>
    <w:rsid w:val="005714E2"/>
    <w:rsid w:val="0057325E"/>
    <w:rsid w:val="00574EF3"/>
    <w:rsid w:val="0057564D"/>
    <w:rsid w:val="00576AE6"/>
    <w:rsid w:val="0058150F"/>
    <w:rsid w:val="0058440B"/>
    <w:rsid w:val="005864DB"/>
    <w:rsid w:val="00586E68"/>
    <w:rsid w:val="005903D3"/>
    <w:rsid w:val="005949A7"/>
    <w:rsid w:val="0059568A"/>
    <w:rsid w:val="00595E6F"/>
    <w:rsid w:val="00596906"/>
    <w:rsid w:val="005A6140"/>
    <w:rsid w:val="005A629E"/>
    <w:rsid w:val="005A686E"/>
    <w:rsid w:val="005B3DAA"/>
    <w:rsid w:val="005B7205"/>
    <w:rsid w:val="005B7398"/>
    <w:rsid w:val="005B7819"/>
    <w:rsid w:val="005C1F86"/>
    <w:rsid w:val="005C21E8"/>
    <w:rsid w:val="005C2E1F"/>
    <w:rsid w:val="005C7A06"/>
    <w:rsid w:val="005C7D53"/>
    <w:rsid w:val="005D0320"/>
    <w:rsid w:val="005D4D37"/>
    <w:rsid w:val="005D654A"/>
    <w:rsid w:val="005D660C"/>
    <w:rsid w:val="005E1BF5"/>
    <w:rsid w:val="005E33EF"/>
    <w:rsid w:val="005F2DF9"/>
    <w:rsid w:val="005F5162"/>
    <w:rsid w:val="005F5CFC"/>
    <w:rsid w:val="005F62D0"/>
    <w:rsid w:val="005F7067"/>
    <w:rsid w:val="005F73D8"/>
    <w:rsid w:val="00600C8B"/>
    <w:rsid w:val="0060162E"/>
    <w:rsid w:val="00602A26"/>
    <w:rsid w:val="00611AA5"/>
    <w:rsid w:val="00614D00"/>
    <w:rsid w:val="00622171"/>
    <w:rsid w:val="006233F8"/>
    <w:rsid w:val="00626286"/>
    <w:rsid w:val="0062788F"/>
    <w:rsid w:val="006353BA"/>
    <w:rsid w:val="00635515"/>
    <w:rsid w:val="006360A0"/>
    <w:rsid w:val="00636635"/>
    <w:rsid w:val="006367B8"/>
    <w:rsid w:val="006405FA"/>
    <w:rsid w:val="006422FF"/>
    <w:rsid w:val="006423C5"/>
    <w:rsid w:val="00643386"/>
    <w:rsid w:val="0064607A"/>
    <w:rsid w:val="006520D9"/>
    <w:rsid w:val="00652BDE"/>
    <w:rsid w:val="00654AF5"/>
    <w:rsid w:val="00656E9C"/>
    <w:rsid w:val="00664D2E"/>
    <w:rsid w:val="00666670"/>
    <w:rsid w:val="006670FD"/>
    <w:rsid w:val="00667EA2"/>
    <w:rsid w:val="00671FB2"/>
    <w:rsid w:val="00675746"/>
    <w:rsid w:val="006762BA"/>
    <w:rsid w:val="00680001"/>
    <w:rsid w:val="00680CE3"/>
    <w:rsid w:val="0068104A"/>
    <w:rsid w:val="006814A8"/>
    <w:rsid w:val="006837A1"/>
    <w:rsid w:val="006840A2"/>
    <w:rsid w:val="00687506"/>
    <w:rsid w:val="00687B6E"/>
    <w:rsid w:val="00687C76"/>
    <w:rsid w:val="00694439"/>
    <w:rsid w:val="00694F4D"/>
    <w:rsid w:val="00695739"/>
    <w:rsid w:val="0069640F"/>
    <w:rsid w:val="006A2258"/>
    <w:rsid w:val="006B0F9A"/>
    <w:rsid w:val="006B10B7"/>
    <w:rsid w:val="006B26EF"/>
    <w:rsid w:val="006B2D9B"/>
    <w:rsid w:val="006B3AE2"/>
    <w:rsid w:val="006B3FA5"/>
    <w:rsid w:val="006B54F3"/>
    <w:rsid w:val="006B581F"/>
    <w:rsid w:val="006B610E"/>
    <w:rsid w:val="006B6E7A"/>
    <w:rsid w:val="006B6FA8"/>
    <w:rsid w:val="006C1B26"/>
    <w:rsid w:val="006C1BD5"/>
    <w:rsid w:val="006C453B"/>
    <w:rsid w:val="006C4677"/>
    <w:rsid w:val="006C5AFB"/>
    <w:rsid w:val="006D24A8"/>
    <w:rsid w:val="006D29D6"/>
    <w:rsid w:val="006D3037"/>
    <w:rsid w:val="006D4AF7"/>
    <w:rsid w:val="006D522E"/>
    <w:rsid w:val="006D6291"/>
    <w:rsid w:val="006D657D"/>
    <w:rsid w:val="006E0B32"/>
    <w:rsid w:val="006E2FBC"/>
    <w:rsid w:val="006E3C81"/>
    <w:rsid w:val="006E4DF3"/>
    <w:rsid w:val="006E4E9C"/>
    <w:rsid w:val="006E6BC1"/>
    <w:rsid w:val="006F75ED"/>
    <w:rsid w:val="006F7A9D"/>
    <w:rsid w:val="0070031A"/>
    <w:rsid w:val="0070312F"/>
    <w:rsid w:val="007075B6"/>
    <w:rsid w:val="0071562D"/>
    <w:rsid w:val="00717350"/>
    <w:rsid w:val="00717FF2"/>
    <w:rsid w:val="007209E6"/>
    <w:rsid w:val="00720BFF"/>
    <w:rsid w:val="00721C5A"/>
    <w:rsid w:val="007232CA"/>
    <w:rsid w:val="0072450C"/>
    <w:rsid w:val="007304E2"/>
    <w:rsid w:val="00735832"/>
    <w:rsid w:val="007360DB"/>
    <w:rsid w:val="00752A12"/>
    <w:rsid w:val="00753B27"/>
    <w:rsid w:val="007547BF"/>
    <w:rsid w:val="007554A8"/>
    <w:rsid w:val="00756A23"/>
    <w:rsid w:val="00762A08"/>
    <w:rsid w:val="0076626F"/>
    <w:rsid w:val="00766A07"/>
    <w:rsid w:val="00766F2D"/>
    <w:rsid w:val="00767483"/>
    <w:rsid w:val="00770968"/>
    <w:rsid w:val="007718D6"/>
    <w:rsid w:val="00772526"/>
    <w:rsid w:val="00772D2D"/>
    <w:rsid w:val="00773B2F"/>
    <w:rsid w:val="00776875"/>
    <w:rsid w:val="00782BE7"/>
    <w:rsid w:val="00784A0F"/>
    <w:rsid w:val="00787D23"/>
    <w:rsid w:val="00790AB9"/>
    <w:rsid w:val="0079232A"/>
    <w:rsid w:val="00796386"/>
    <w:rsid w:val="00796BB1"/>
    <w:rsid w:val="007A1F5C"/>
    <w:rsid w:val="007A26BE"/>
    <w:rsid w:val="007A75C3"/>
    <w:rsid w:val="007A7FDF"/>
    <w:rsid w:val="007B0B58"/>
    <w:rsid w:val="007B385A"/>
    <w:rsid w:val="007B3D87"/>
    <w:rsid w:val="007B3DB3"/>
    <w:rsid w:val="007B59E6"/>
    <w:rsid w:val="007B65E9"/>
    <w:rsid w:val="007B7FBA"/>
    <w:rsid w:val="007C25CF"/>
    <w:rsid w:val="007C6633"/>
    <w:rsid w:val="007D0F1A"/>
    <w:rsid w:val="007D3267"/>
    <w:rsid w:val="007E04EE"/>
    <w:rsid w:val="007E1F20"/>
    <w:rsid w:val="007E2427"/>
    <w:rsid w:val="007E242A"/>
    <w:rsid w:val="007E35D6"/>
    <w:rsid w:val="007E728A"/>
    <w:rsid w:val="007F29F7"/>
    <w:rsid w:val="007F3DF3"/>
    <w:rsid w:val="007F4C2A"/>
    <w:rsid w:val="007F59F3"/>
    <w:rsid w:val="00802150"/>
    <w:rsid w:val="008047C6"/>
    <w:rsid w:val="008077AB"/>
    <w:rsid w:val="0081283D"/>
    <w:rsid w:val="00815E88"/>
    <w:rsid w:val="00816307"/>
    <w:rsid w:val="0081795A"/>
    <w:rsid w:val="00817CE5"/>
    <w:rsid w:val="00822DEC"/>
    <w:rsid w:val="00835176"/>
    <w:rsid w:val="00835587"/>
    <w:rsid w:val="00836F90"/>
    <w:rsid w:val="00840F8D"/>
    <w:rsid w:val="008413D0"/>
    <w:rsid w:val="00841A65"/>
    <w:rsid w:val="00850AE1"/>
    <w:rsid w:val="00851B96"/>
    <w:rsid w:val="008546A7"/>
    <w:rsid w:val="008563C7"/>
    <w:rsid w:val="008569D6"/>
    <w:rsid w:val="00857210"/>
    <w:rsid w:val="00857E49"/>
    <w:rsid w:val="00862E25"/>
    <w:rsid w:val="008638C0"/>
    <w:rsid w:val="00866E48"/>
    <w:rsid w:val="00872B58"/>
    <w:rsid w:val="00873714"/>
    <w:rsid w:val="008753B9"/>
    <w:rsid w:val="00875492"/>
    <w:rsid w:val="008758C2"/>
    <w:rsid w:val="00877B39"/>
    <w:rsid w:val="00880B79"/>
    <w:rsid w:val="00882D5B"/>
    <w:rsid w:val="008840C1"/>
    <w:rsid w:val="00884FE1"/>
    <w:rsid w:val="00885101"/>
    <w:rsid w:val="0088620A"/>
    <w:rsid w:val="008900C2"/>
    <w:rsid w:val="008923CD"/>
    <w:rsid w:val="00893FDD"/>
    <w:rsid w:val="0089476A"/>
    <w:rsid w:val="008954E8"/>
    <w:rsid w:val="008A11E6"/>
    <w:rsid w:val="008A1569"/>
    <w:rsid w:val="008A5C8B"/>
    <w:rsid w:val="008A6784"/>
    <w:rsid w:val="008A7A64"/>
    <w:rsid w:val="008B1C22"/>
    <w:rsid w:val="008B2777"/>
    <w:rsid w:val="008B4A4C"/>
    <w:rsid w:val="008B5A53"/>
    <w:rsid w:val="008B5D69"/>
    <w:rsid w:val="008C2758"/>
    <w:rsid w:val="008D0467"/>
    <w:rsid w:val="008D2D29"/>
    <w:rsid w:val="008D2FDF"/>
    <w:rsid w:val="008D4D58"/>
    <w:rsid w:val="008E0085"/>
    <w:rsid w:val="008E171E"/>
    <w:rsid w:val="008E1849"/>
    <w:rsid w:val="008E649A"/>
    <w:rsid w:val="008E7F8E"/>
    <w:rsid w:val="008F12C8"/>
    <w:rsid w:val="008F358F"/>
    <w:rsid w:val="008F3BAF"/>
    <w:rsid w:val="008F5176"/>
    <w:rsid w:val="008F55B3"/>
    <w:rsid w:val="008F58A5"/>
    <w:rsid w:val="008F5F20"/>
    <w:rsid w:val="0090164D"/>
    <w:rsid w:val="009034E4"/>
    <w:rsid w:val="00905648"/>
    <w:rsid w:val="00905E62"/>
    <w:rsid w:val="0090665E"/>
    <w:rsid w:val="009112CB"/>
    <w:rsid w:val="009140BD"/>
    <w:rsid w:val="00914BC7"/>
    <w:rsid w:val="00914EB1"/>
    <w:rsid w:val="00916D61"/>
    <w:rsid w:val="009206CD"/>
    <w:rsid w:val="00920FAD"/>
    <w:rsid w:val="00921DFC"/>
    <w:rsid w:val="00925B10"/>
    <w:rsid w:val="009265C5"/>
    <w:rsid w:val="00931833"/>
    <w:rsid w:val="00931FEF"/>
    <w:rsid w:val="0094046F"/>
    <w:rsid w:val="00941932"/>
    <w:rsid w:val="009444EC"/>
    <w:rsid w:val="00944E7A"/>
    <w:rsid w:val="00945B5C"/>
    <w:rsid w:val="00947A12"/>
    <w:rsid w:val="00951D6E"/>
    <w:rsid w:val="00952564"/>
    <w:rsid w:val="00956341"/>
    <w:rsid w:val="00961C6E"/>
    <w:rsid w:val="00961D86"/>
    <w:rsid w:val="009633EA"/>
    <w:rsid w:val="00963CA9"/>
    <w:rsid w:val="0096506E"/>
    <w:rsid w:val="009660EB"/>
    <w:rsid w:val="00970F09"/>
    <w:rsid w:val="009714A5"/>
    <w:rsid w:val="009739FE"/>
    <w:rsid w:val="00974087"/>
    <w:rsid w:val="0097461F"/>
    <w:rsid w:val="00976D17"/>
    <w:rsid w:val="00986538"/>
    <w:rsid w:val="00987CF5"/>
    <w:rsid w:val="00992B3C"/>
    <w:rsid w:val="0099778D"/>
    <w:rsid w:val="009A1729"/>
    <w:rsid w:val="009A29E0"/>
    <w:rsid w:val="009A60F3"/>
    <w:rsid w:val="009A7E7D"/>
    <w:rsid w:val="009B03AF"/>
    <w:rsid w:val="009B0E92"/>
    <w:rsid w:val="009B1006"/>
    <w:rsid w:val="009B160C"/>
    <w:rsid w:val="009B5361"/>
    <w:rsid w:val="009B5F36"/>
    <w:rsid w:val="009C0A93"/>
    <w:rsid w:val="009C215C"/>
    <w:rsid w:val="009C4095"/>
    <w:rsid w:val="009C71F8"/>
    <w:rsid w:val="009D1C51"/>
    <w:rsid w:val="009D3D3F"/>
    <w:rsid w:val="009D47E3"/>
    <w:rsid w:val="009D6209"/>
    <w:rsid w:val="009D665E"/>
    <w:rsid w:val="009D7BEA"/>
    <w:rsid w:val="009E0FC9"/>
    <w:rsid w:val="009E12D6"/>
    <w:rsid w:val="009E2BD0"/>
    <w:rsid w:val="009E3BA8"/>
    <w:rsid w:val="009E69EF"/>
    <w:rsid w:val="009F0EC9"/>
    <w:rsid w:val="009F1A99"/>
    <w:rsid w:val="009F244C"/>
    <w:rsid w:val="009F7D4E"/>
    <w:rsid w:val="00A019E9"/>
    <w:rsid w:val="00A02949"/>
    <w:rsid w:val="00A02D47"/>
    <w:rsid w:val="00A040CE"/>
    <w:rsid w:val="00A060DB"/>
    <w:rsid w:val="00A10D28"/>
    <w:rsid w:val="00A121C6"/>
    <w:rsid w:val="00A121F3"/>
    <w:rsid w:val="00A1747E"/>
    <w:rsid w:val="00A21009"/>
    <w:rsid w:val="00A215CC"/>
    <w:rsid w:val="00A21B26"/>
    <w:rsid w:val="00A231BF"/>
    <w:rsid w:val="00A23E0F"/>
    <w:rsid w:val="00A263B8"/>
    <w:rsid w:val="00A30FCD"/>
    <w:rsid w:val="00A36085"/>
    <w:rsid w:val="00A37F5E"/>
    <w:rsid w:val="00A40A57"/>
    <w:rsid w:val="00A40EE9"/>
    <w:rsid w:val="00A421B7"/>
    <w:rsid w:val="00A43CFB"/>
    <w:rsid w:val="00A4442A"/>
    <w:rsid w:val="00A47C40"/>
    <w:rsid w:val="00A51620"/>
    <w:rsid w:val="00A52B0B"/>
    <w:rsid w:val="00A53A8B"/>
    <w:rsid w:val="00A53B51"/>
    <w:rsid w:val="00A54A6D"/>
    <w:rsid w:val="00A579B1"/>
    <w:rsid w:val="00A60A01"/>
    <w:rsid w:val="00A62826"/>
    <w:rsid w:val="00A64BF2"/>
    <w:rsid w:val="00A6624B"/>
    <w:rsid w:val="00A6705B"/>
    <w:rsid w:val="00A672C0"/>
    <w:rsid w:val="00A7140B"/>
    <w:rsid w:val="00A71F82"/>
    <w:rsid w:val="00A722E4"/>
    <w:rsid w:val="00A73C00"/>
    <w:rsid w:val="00A73FC9"/>
    <w:rsid w:val="00A77944"/>
    <w:rsid w:val="00A82F71"/>
    <w:rsid w:val="00A8333C"/>
    <w:rsid w:val="00A835D1"/>
    <w:rsid w:val="00A83B98"/>
    <w:rsid w:val="00A925DD"/>
    <w:rsid w:val="00AA12E9"/>
    <w:rsid w:val="00AA32D5"/>
    <w:rsid w:val="00AA4775"/>
    <w:rsid w:val="00AA6AD6"/>
    <w:rsid w:val="00AB0DB5"/>
    <w:rsid w:val="00AB5256"/>
    <w:rsid w:val="00AB5334"/>
    <w:rsid w:val="00AB66DA"/>
    <w:rsid w:val="00AB75D6"/>
    <w:rsid w:val="00AC0C1C"/>
    <w:rsid w:val="00AC18AC"/>
    <w:rsid w:val="00AC18E7"/>
    <w:rsid w:val="00AC1C53"/>
    <w:rsid w:val="00AC2880"/>
    <w:rsid w:val="00AC3F99"/>
    <w:rsid w:val="00AC70BA"/>
    <w:rsid w:val="00AC76EC"/>
    <w:rsid w:val="00AD0E3C"/>
    <w:rsid w:val="00AD1FFA"/>
    <w:rsid w:val="00AD6D26"/>
    <w:rsid w:val="00AE0442"/>
    <w:rsid w:val="00AE176B"/>
    <w:rsid w:val="00AE2459"/>
    <w:rsid w:val="00AE659D"/>
    <w:rsid w:val="00AE79D6"/>
    <w:rsid w:val="00AF30D1"/>
    <w:rsid w:val="00AF54AF"/>
    <w:rsid w:val="00AF64CF"/>
    <w:rsid w:val="00B0270F"/>
    <w:rsid w:val="00B12852"/>
    <w:rsid w:val="00B14436"/>
    <w:rsid w:val="00B160AA"/>
    <w:rsid w:val="00B16EEC"/>
    <w:rsid w:val="00B17178"/>
    <w:rsid w:val="00B21C8D"/>
    <w:rsid w:val="00B23558"/>
    <w:rsid w:val="00B24BBB"/>
    <w:rsid w:val="00B24C8D"/>
    <w:rsid w:val="00B26EEA"/>
    <w:rsid w:val="00B27287"/>
    <w:rsid w:val="00B30E4D"/>
    <w:rsid w:val="00B313A8"/>
    <w:rsid w:val="00B34BD6"/>
    <w:rsid w:val="00B3716C"/>
    <w:rsid w:val="00B4195D"/>
    <w:rsid w:val="00B43914"/>
    <w:rsid w:val="00B43F42"/>
    <w:rsid w:val="00B44AB5"/>
    <w:rsid w:val="00B4746C"/>
    <w:rsid w:val="00B511B2"/>
    <w:rsid w:val="00B54F85"/>
    <w:rsid w:val="00B574E2"/>
    <w:rsid w:val="00B57B3E"/>
    <w:rsid w:val="00B57B9A"/>
    <w:rsid w:val="00B6459A"/>
    <w:rsid w:val="00B64DD9"/>
    <w:rsid w:val="00B64FCE"/>
    <w:rsid w:val="00B672A6"/>
    <w:rsid w:val="00B67DF2"/>
    <w:rsid w:val="00B72ABD"/>
    <w:rsid w:val="00B745C8"/>
    <w:rsid w:val="00B8360D"/>
    <w:rsid w:val="00B9017D"/>
    <w:rsid w:val="00B90527"/>
    <w:rsid w:val="00B90886"/>
    <w:rsid w:val="00B91FC6"/>
    <w:rsid w:val="00B9495F"/>
    <w:rsid w:val="00B94EFA"/>
    <w:rsid w:val="00B961C8"/>
    <w:rsid w:val="00B9767D"/>
    <w:rsid w:val="00BA0C2B"/>
    <w:rsid w:val="00BA2C14"/>
    <w:rsid w:val="00BA2D50"/>
    <w:rsid w:val="00BA48A7"/>
    <w:rsid w:val="00BA6004"/>
    <w:rsid w:val="00BB0DCD"/>
    <w:rsid w:val="00BB206D"/>
    <w:rsid w:val="00BB477D"/>
    <w:rsid w:val="00BC109C"/>
    <w:rsid w:val="00BC1DF1"/>
    <w:rsid w:val="00BC1E4D"/>
    <w:rsid w:val="00BD0A36"/>
    <w:rsid w:val="00BD0BF8"/>
    <w:rsid w:val="00BD725E"/>
    <w:rsid w:val="00BE0A11"/>
    <w:rsid w:val="00BE0ABD"/>
    <w:rsid w:val="00BE1748"/>
    <w:rsid w:val="00BE2145"/>
    <w:rsid w:val="00BE637E"/>
    <w:rsid w:val="00BE7CCB"/>
    <w:rsid w:val="00BF0DEB"/>
    <w:rsid w:val="00BF3015"/>
    <w:rsid w:val="00BF3FA8"/>
    <w:rsid w:val="00C01162"/>
    <w:rsid w:val="00C02C21"/>
    <w:rsid w:val="00C02E43"/>
    <w:rsid w:val="00C056E5"/>
    <w:rsid w:val="00C05D38"/>
    <w:rsid w:val="00C109A6"/>
    <w:rsid w:val="00C1251B"/>
    <w:rsid w:val="00C1450F"/>
    <w:rsid w:val="00C2013E"/>
    <w:rsid w:val="00C22743"/>
    <w:rsid w:val="00C2319E"/>
    <w:rsid w:val="00C24E2E"/>
    <w:rsid w:val="00C26AD9"/>
    <w:rsid w:val="00C304B9"/>
    <w:rsid w:val="00C3077F"/>
    <w:rsid w:val="00C31480"/>
    <w:rsid w:val="00C32454"/>
    <w:rsid w:val="00C3554B"/>
    <w:rsid w:val="00C35D8B"/>
    <w:rsid w:val="00C36486"/>
    <w:rsid w:val="00C4540F"/>
    <w:rsid w:val="00C46F52"/>
    <w:rsid w:val="00C51393"/>
    <w:rsid w:val="00C527EE"/>
    <w:rsid w:val="00C565A2"/>
    <w:rsid w:val="00C60618"/>
    <w:rsid w:val="00C60BC0"/>
    <w:rsid w:val="00C622E0"/>
    <w:rsid w:val="00C62ECE"/>
    <w:rsid w:val="00C63CDC"/>
    <w:rsid w:val="00C640B0"/>
    <w:rsid w:val="00C67CA2"/>
    <w:rsid w:val="00C67DAE"/>
    <w:rsid w:val="00C705B0"/>
    <w:rsid w:val="00C70AF6"/>
    <w:rsid w:val="00C71393"/>
    <w:rsid w:val="00C7381E"/>
    <w:rsid w:val="00C75A30"/>
    <w:rsid w:val="00C7664B"/>
    <w:rsid w:val="00C767FB"/>
    <w:rsid w:val="00C82546"/>
    <w:rsid w:val="00C829B6"/>
    <w:rsid w:val="00C864E7"/>
    <w:rsid w:val="00C917A9"/>
    <w:rsid w:val="00C923D4"/>
    <w:rsid w:val="00C931CC"/>
    <w:rsid w:val="00C9677D"/>
    <w:rsid w:val="00C976CF"/>
    <w:rsid w:val="00C97D4D"/>
    <w:rsid w:val="00CA3054"/>
    <w:rsid w:val="00CA3F90"/>
    <w:rsid w:val="00CA6086"/>
    <w:rsid w:val="00CB1BE4"/>
    <w:rsid w:val="00CB38B7"/>
    <w:rsid w:val="00CC04AB"/>
    <w:rsid w:val="00CC18F5"/>
    <w:rsid w:val="00CC294D"/>
    <w:rsid w:val="00CC29EE"/>
    <w:rsid w:val="00CC2C45"/>
    <w:rsid w:val="00CC46DC"/>
    <w:rsid w:val="00CC737F"/>
    <w:rsid w:val="00CD2B2B"/>
    <w:rsid w:val="00CD79F3"/>
    <w:rsid w:val="00CE1628"/>
    <w:rsid w:val="00CE1633"/>
    <w:rsid w:val="00CE3D52"/>
    <w:rsid w:val="00CE4657"/>
    <w:rsid w:val="00CE4774"/>
    <w:rsid w:val="00CE6834"/>
    <w:rsid w:val="00CE7CFC"/>
    <w:rsid w:val="00CE7ED2"/>
    <w:rsid w:val="00CF179B"/>
    <w:rsid w:val="00CF316D"/>
    <w:rsid w:val="00CF3954"/>
    <w:rsid w:val="00CF3AA2"/>
    <w:rsid w:val="00CF4F2A"/>
    <w:rsid w:val="00CF5DE9"/>
    <w:rsid w:val="00CF67C9"/>
    <w:rsid w:val="00CF7C78"/>
    <w:rsid w:val="00D02993"/>
    <w:rsid w:val="00D02CB0"/>
    <w:rsid w:val="00D055F2"/>
    <w:rsid w:val="00D05DA7"/>
    <w:rsid w:val="00D064C4"/>
    <w:rsid w:val="00D0676D"/>
    <w:rsid w:val="00D11345"/>
    <w:rsid w:val="00D1262C"/>
    <w:rsid w:val="00D145BE"/>
    <w:rsid w:val="00D2140E"/>
    <w:rsid w:val="00D22256"/>
    <w:rsid w:val="00D3041E"/>
    <w:rsid w:val="00D4060D"/>
    <w:rsid w:val="00D4322D"/>
    <w:rsid w:val="00D43890"/>
    <w:rsid w:val="00D51CD7"/>
    <w:rsid w:val="00D630EC"/>
    <w:rsid w:val="00D64A70"/>
    <w:rsid w:val="00D651B7"/>
    <w:rsid w:val="00D70953"/>
    <w:rsid w:val="00D70C19"/>
    <w:rsid w:val="00D7318B"/>
    <w:rsid w:val="00D757C2"/>
    <w:rsid w:val="00D802F5"/>
    <w:rsid w:val="00D81F85"/>
    <w:rsid w:val="00D86C73"/>
    <w:rsid w:val="00D87186"/>
    <w:rsid w:val="00D90969"/>
    <w:rsid w:val="00D9275C"/>
    <w:rsid w:val="00D92F9D"/>
    <w:rsid w:val="00D93AE5"/>
    <w:rsid w:val="00D969B3"/>
    <w:rsid w:val="00D97B20"/>
    <w:rsid w:val="00DA05CA"/>
    <w:rsid w:val="00DB15A2"/>
    <w:rsid w:val="00DC085E"/>
    <w:rsid w:val="00DC234F"/>
    <w:rsid w:val="00DC28AE"/>
    <w:rsid w:val="00DC3109"/>
    <w:rsid w:val="00DC6B1C"/>
    <w:rsid w:val="00DD085A"/>
    <w:rsid w:val="00DD40F1"/>
    <w:rsid w:val="00DD6BC6"/>
    <w:rsid w:val="00DE2656"/>
    <w:rsid w:val="00DE600C"/>
    <w:rsid w:val="00DF0407"/>
    <w:rsid w:val="00DF06CE"/>
    <w:rsid w:val="00DF0E79"/>
    <w:rsid w:val="00DF13A7"/>
    <w:rsid w:val="00DF1DEF"/>
    <w:rsid w:val="00DF33A3"/>
    <w:rsid w:val="00DF7DC3"/>
    <w:rsid w:val="00E03650"/>
    <w:rsid w:val="00E12163"/>
    <w:rsid w:val="00E13A54"/>
    <w:rsid w:val="00E13FD9"/>
    <w:rsid w:val="00E1469A"/>
    <w:rsid w:val="00E16BA9"/>
    <w:rsid w:val="00E23DFA"/>
    <w:rsid w:val="00E2633F"/>
    <w:rsid w:val="00E26B51"/>
    <w:rsid w:val="00E27332"/>
    <w:rsid w:val="00E31C22"/>
    <w:rsid w:val="00E3245D"/>
    <w:rsid w:val="00E37B6B"/>
    <w:rsid w:val="00E405CB"/>
    <w:rsid w:val="00E4068B"/>
    <w:rsid w:val="00E40AF2"/>
    <w:rsid w:val="00E45861"/>
    <w:rsid w:val="00E45B2B"/>
    <w:rsid w:val="00E474EC"/>
    <w:rsid w:val="00E5030B"/>
    <w:rsid w:val="00E54189"/>
    <w:rsid w:val="00E60406"/>
    <w:rsid w:val="00E64C44"/>
    <w:rsid w:val="00E66769"/>
    <w:rsid w:val="00E67462"/>
    <w:rsid w:val="00E70045"/>
    <w:rsid w:val="00E70C3E"/>
    <w:rsid w:val="00E71311"/>
    <w:rsid w:val="00E72072"/>
    <w:rsid w:val="00E7384E"/>
    <w:rsid w:val="00E74642"/>
    <w:rsid w:val="00E8421D"/>
    <w:rsid w:val="00E8484E"/>
    <w:rsid w:val="00E84FCC"/>
    <w:rsid w:val="00E85958"/>
    <w:rsid w:val="00E91358"/>
    <w:rsid w:val="00E9514E"/>
    <w:rsid w:val="00E9799C"/>
    <w:rsid w:val="00EA699F"/>
    <w:rsid w:val="00EB0234"/>
    <w:rsid w:val="00EB1E65"/>
    <w:rsid w:val="00EB254A"/>
    <w:rsid w:val="00EB28E1"/>
    <w:rsid w:val="00EB2DDD"/>
    <w:rsid w:val="00EB3CE0"/>
    <w:rsid w:val="00EB49DC"/>
    <w:rsid w:val="00EB5A3F"/>
    <w:rsid w:val="00EC2007"/>
    <w:rsid w:val="00EC4650"/>
    <w:rsid w:val="00EC7AD0"/>
    <w:rsid w:val="00ED5C68"/>
    <w:rsid w:val="00EE0C21"/>
    <w:rsid w:val="00EE4431"/>
    <w:rsid w:val="00EF26E7"/>
    <w:rsid w:val="00EF3A7B"/>
    <w:rsid w:val="00EF6ABD"/>
    <w:rsid w:val="00EF6C13"/>
    <w:rsid w:val="00F005C7"/>
    <w:rsid w:val="00F03F42"/>
    <w:rsid w:val="00F04003"/>
    <w:rsid w:val="00F05234"/>
    <w:rsid w:val="00F064FA"/>
    <w:rsid w:val="00F10CBE"/>
    <w:rsid w:val="00F11079"/>
    <w:rsid w:val="00F16530"/>
    <w:rsid w:val="00F25676"/>
    <w:rsid w:val="00F261D9"/>
    <w:rsid w:val="00F30E70"/>
    <w:rsid w:val="00F3106E"/>
    <w:rsid w:val="00F33414"/>
    <w:rsid w:val="00F334F9"/>
    <w:rsid w:val="00F33F70"/>
    <w:rsid w:val="00F402CD"/>
    <w:rsid w:val="00F467DD"/>
    <w:rsid w:val="00F4687C"/>
    <w:rsid w:val="00F54B14"/>
    <w:rsid w:val="00F5523C"/>
    <w:rsid w:val="00F568E4"/>
    <w:rsid w:val="00F569CF"/>
    <w:rsid w:val="00F60374"/>
    <w:rsid w:val="00F624E4"/>
    <w:rsid w:val="00F70155"/>
    <w:rsid w:val="00F70DFB"/>
    <w:rsid w:val="00F7452C"/>
    <w:rsid w:val="00F74563"/>
    <w:rsid w:val="00F7599D"/>
    <w:rsid w:val="00F7634B"/>
    <w:rsid w:val="00F768B7"/>
    <w:rsid w:val="00F83409"/>
    <w:rsid w:val="00F83B9D"/>
    <w:rsid w:val="00F845D4"/>
    <w:rsid w:val="00F90132"/>
    <w:rsid w:val="00F92F83"/>
    <w:rsid w:val="00F963A9"/>
    <w:rsid w:val="00F96ED5"/>
    <w:rsid w:val="00FA041B"/>
    <w:rsid w:val="00FA0FBF"/>
    <w:rsid w:val="00FA36A6"/>
    <w:rsid w:val="00FA40FB"/>
    <w:rsid w:val="00FA5844"/>
    <w:rsid w:val="00FA5EAD"/>
    <w:rsid w:val="00FA6B16"/>
    <w:rsid w:val="00FA7F02"/>
    <w:rsid w:val="00FB000E"/>
    <w:rsid w:val="00FB03DD"/>
    <w:rsid w:val="00FB46D0"/>
    <w:rsid w:val="00FB483A"/>
    <w:rsid w:val="00FB4E8B"/>
    <w:rsid w:val="00FC5A38"/>
    <w:rsid w:val="00FD115E"/>
    <w:rsid w:val="00FD1F94"/>
    <w:rsid w:val="00FD35D1"/>
    <w:rsid w:val="00FD3688"/>
    <w:rsid w:val="00FD510D"/>
    <w:rsid w:val="00FE00BA"/>
    <w:rsid w:val="00FE241D"/>
    <w:rsid w:val="00FE5F81"/>
    <w:rsid w:val="00FE6FBF"/>
    <w:rsid w:val="00FF3BEA"/>
    <w:rsid w:val="00FF3E4C"/>
    <w:rsid w:val="0125401A"/>
    <w:rsid w:val="019E4401"/>
    <w:rsid w:val="03AB7312"/>
    <w:rsid w:val="03AE2DAA"/>
    <w:rsid w:val="07CC7480"/>
    <w:rsid w:val="0ADE77BD"/>
    <w:rsid w:val="0D605BCF"/>
    <w:rsid w:val="11A74749"/>
    <w:rsid w:val="13BF04D0"/>
    <w:rsid w:val="18965DA5"/>
    <w:rsid w:val="1B0D395B"/>
    <w:rsid w:val="1DFA4F9D"/>
    <w:rsid w:val="1E9A5837"/>
    <w:rsid w:val="1F215D47"/>
    <w:rsid w:val="21C21F16"/>
    <w:rsid w:val="226566E8"/>
    <w:rsid w:val="25B025E3"/>
    <w:rsid w:val="262E10FF"/>
    <w:rsid w:val="26DA7117"/>
    <w:rsid w:val="2ADD4CA8"/>
    <w:rsid w:val="2E355721"/>
    <w:rsid w:val="2F3072A3"/>
    <w:rsid w:val="317F1CCF"/>
    <w:rsid w:val="383441FE"/>
    <w:rsid w:val="38AA2BC2"/>
    <w:rsid w:val="3A393E48"/>
    <w:rsid w:val="3CC811C2"/>
    <w:rsid w:val="46E82641"/>
    <w:rsid w:val="523B0D8E"/>
    <w:rsid w:val="56162121"/>
    <w:rsid w:val="59540BBE"/>
    <w:rsid w:val="5DB5A81A"/>
    <w:rsid w:val="5E0A4239"/>
    <w:rsid w:val="60EF1A61"/>
    <w:rsid w:val="63D96C2C"/>
    <w:rsid w:val="64AD0FEA"/>
    <w:rsid w:val="6589276B"/>
    <w:rsid w:val="67FF788E"/>
    <w:rsid w:val="6F3F67E6"/>
    <w:rsid w:val="6F5FB15E"/>
    <w:rsid w:val="6F622C5A"/>
    <w:rsid w:val="71AA4874"/>
    <w:rsid w:val="777BFA01"/>
    <w:rsid w:val="7B7FC666"/>
    <w:rsid w:val="7CFF0796"/>
    <w:rsid w:val="7D26E993"/>
    <w:rsid w:val="7D3F0A6F"/>
    <w:rsid w:val="7E792609"/>
    <w:rsid w:val="7FAF7F72"/>
    <w:rsid w:val="7FB337BB"/>
    <w:rsid w:val="7FFDDF09"/>
    <w:rsid w:val="7FFF4536"/>
    <w:rsid w:val="B7EE51D4"/>
    <w:rsid w:val="B9FB2305"/>
    <w:rsid w:val="BBDE8A3F"/>
    <w:rsid w:val="CFF74AE7"/>
    <w:rsid w:val="DDEF840F"/>
    <w:rsid w:val="DEBFE8B9"/>
    <w:rsid w:val="E7F70A40"/>
    <w:rsid w:val="EF6BC8CF"/>
    <w:rsid w:val="F7BB2AAC"/>
    <w:rsid w:val="FFDFA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eastAsia="仿宋_GB2312" w:asciiTheme="minorHAnsi" w:hAnsiTheme="minorHAnsi" w:cstheme="minorBidi"/>
      <w:kern w:val="2"/>
      <w:sz w:val="32"/>
      <w:szCs w:val="22"/>
      <w:lang w:val="en-US" w:eastAsia="zh-CN" w:bidi="ar-SA"/>
    </w:rPr>
  </w:style>
  <w:style w:type="paragraph" w:styleId="2">
    <w:name w:val="heading 1"/>
    <w:basedOn w:val="1"/>
    <w:next w:val="1"/>
    <w:link w:val="20"/>
    <w:qFormat/>
    <w:uiPriority w:val="9"/>
    <w:pPr>
      <w:keepNext/>
      <w:keepLines/>
      <w:outlineLvl w:val="0"/>
    </w:pPr>
    <w:rPr>
      <w:rFonts w:eastAsia="黑体"/>
      <w:bCs/>
      <w:kern w:val="44"/>
      <w:szCs w:val="44"/>
    </w:rPr>
  </w:style>
  <w:style w:type="paragraph" w:styleId="3">
    <w:name w:val="heading 2"/>
    <w:basedOn w:val="1"/>
    <w:next w:val="1"/>
    <w:link w:val="21"/>
    <w:unhideWhenUsed/>
    <w:qFormat/>
    <w:uiPriority w:val="9"/>
    <w:pPr>
      <w:keepNext/>
      <w:keepLines/>
      <w:spacing w:line="360" w:lineRule="auto"/>
      <w:outlineLvl w:val="1"/>
    </w:pPr>
    <w:rPr>
      <w:rFonts w:asciiTheme="majorHAnsi" w:hAnsiTheme="majorHAnsi" w:cstheme="majorBidi"/>
      <w:b/>
      <w:bCs/>
      <w:szCs w:val="32"/>
    </w:rPr>
  </w:style>
  <w:style w:type="paragraph" w:styleId="4">
    <w:name w:val="heading 3"/>
    <w:basedOn w:val="1"/>
    <w:next w:val="1"/>
    <w:link w:val="22"/>
    <w:unhideWhenUsed/>
    <w:qFormat/>
    <w:uiPriority w:val="9"/>
    <w:pPr>
      <w:keepNext/>
      <w:keepLines/>
      <w:spacing w:line="360" w:lineRule="auto"/>
      <w:outlineLvl w:val="2"/>
    </w:pPr>
    <w:rPr>
      <w:b/>
      <w:bCs/>
      <w:szCs w:val="32"/>
    </w:rPr>
  </w:style>
  <w:style w:type="paragraph" w:styleId="5">
    <w:name w:val="heading 4"/>
    <w:basedOn w:val="1"/>
    <w:next w:val="1"/>
    <w:link w:val="23"/>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toc 3"/>
    <w:basedOn w:val="1"/>
    <w:next w:val="1"/>
    <w:unhideWhenUsed/>
    <w:qFormat/>
    <w:uiPriority w:val="39"/>
    <w:pPr>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toc 2"/>
    <w:basedOn w:val="1"/>
    <w:next w:val="1"/>
    <w:unhideWhenUsed/>
    <w:qFormat/>
    <w:uiPriority w:val="39"/>
    <w:pPr>
      <w:ind w:left="420" w:leftChars="200"/>
    </w:p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rPr>
      <w:rFonts w:ascii="Times New Roman" w:hAnsi="Times New Roman" w:eastAsia="宋体" w:cs="Times New Roman"/>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paragraph" w:styleId="17">
    <w:name w:val="List Paragraph"/>
    <w:basedOn w:val="1"/>
    <w:qFormat/>
    <w:uiPriority w:val="34"/>
    <w:pPr>
      <w:ind w:firstLine="420"/>
    </w:pPr>
  </w:style>
  <w:style w:type="character" w:customStyle="1" w:styleId="18">
    <w:name w:val="页眉 字符"/>
    <w:basedOn w:val="14"/>
    <w:link w:val="9"/>
    <w:qFormat/>
    <w:uiPriority w:val="99"/>
    <w:rPr>
      <w:sz w:val="18"/>
      <w:szCs w:val="18"/>
    </w:rPr>
  </w:style>
  <w:style w:type="character" w:customStyle="1" w:styleId="19">
    <w:name w:val="页脚 字符"/>
    <w:basedOn w:val="14"/>
    <w:link w:val="8"/>
    <w:qFormat/>
    <w:uiPriority w:val="99"/>
    <w:rPr>
      <w:sz w:val="18"/>
      <w:szCs w:val="18"/>
    </w:rPr>
  </w:style>
  <w:style w:type="character" w:customStyle="1" w:styleId="20">
    <w:name w:val="标题 1 字符"/>
    <w:basedOn w:val="14"/>
    <w:link w:val="2"/>
    <w:qFormat/>
    <w:uiPriority w:val="9"/>
    <w:rPr>
      <w:rFonts w:eastAsia="黑体"/>
      <w:bCs/>
      <w:kern w:val="44"/>
      <w:sz w:val="32"/>
      <w:szCs w:val="44"/>
    </w:rPr>
  </w:style>
  <w:style w:type="character" w:customStyle="1" w:styleId="21">
    <w:name w:val="标题 2 字符"/>
    <w:basedOn w:val="14"/>
    <w:link w:val="3"/>
    <w:qFormat/>
    <w:uiPriority w:val="9"/>
    <w:rPr>
      <w:rFonts w:eastAsia="仿宋" w:asciiTheme="majorHAnsi" w:hAnsiTheme="majorHAnsi" w:cstheme="majorBidi"/>
      <w:b/>
      <w:bCs/>
      <w:kern w:val="2"/>
      <w:sz w:val="32"/>
      <w:szCs w:val="32"/>
    </w:rPr>
  </w:style>
  <w:style w:type="character" w:customStyle="1" w:styleId="22">
    <w:name w:val="标题 3 字符"/>
    <w:basedOn w:val="14"/>
    <w:link w:val="4"/>
    <w:qFormat/>
    <w:uiPriority w:val="9"/>
    <w:rPr>
      <w:rFonts w:eastAsia="仿宋_GB2312"/>
      <w:b/>
      <w:bCs/>
      <w:kern w:val="2"/>
      <w:sz w:val="32"/>
      <w:szCs w:val="32"/>
    </w:rPr>
  </w:style>
  <w:style w:type="character" w:customStyle="1" w:styleId="23">
    <w:name w:val="标题 4 字符"/>
    <w:basedOn w:val="14"/>
    <w:link w:val="5"/>
    <w:qFormat/>
    <w:uiPriority w:val="9"/>
    <w:rPr>
      <w:rFonts w:asciiTheme="majorHAnsi" w:hAnsiTheme="majorHAnsi" w:eastAsiaTheme="majorEastAsia" w:cstheme="majorBidi"/>
      <w:b/>
      <w:bCs/>
      <w:kern w:val="2"/>
      <w:sz w:val="28"/>
      <w:szCs w:val="28"/>
    </w:rPr>
  </w:style>
  <w:style w:type="paragraph" w:customStyle="1" w:styleId="24">
    <w:name w:val="TOC 标题1"/>
    <w:basedOn w:val="2"/>
    <w:next w:val="1"/>
    <w:unhideWhenUsed/>
    <w:qFormat/>
    <w:uiPriority w:val="39"/>
    <w:pPr>
      <w:widowControl/>
      <w:spacing w:before="240" w:line="259" w:lineRule="auto"/>
      <w:ind w:firstLine="0" w:firstLineChars="0"/>
      <w:jc w:val="left"/>
      <w:outlineLvl w:val="9"/>
    </w:pPr>
    <w:rPr>
      <w:rFonts w:asciiTheme="majorHAnsi" w:hAnsiTheme="majorHAnsi" w:eastAsiaTheme="majorEastAsia" w:cstheme="majorBidi"/>
      <w:b/>
      <w:bCs w:val="0"/>
      <w:color w:val="376092" w:themeColor="accent1" w:themeShade="BF"/>
      <w:kern w:val="0"/>
      <w:szCs w:val="32"/>
    </w:rPr>
  </w:style>
  <w:style w:type="paragraph" w:styleId="25">
    <w:name w:val="No Spacing"/>
    <w:link w:val="26"/>
    <w:qFormat/>
    <w:uiPriority w:val="1"/>
    <w:rPr>
      <w:rFonts w:asciiTheme="minorHAnsi" w:hAnsiTheme="minorHAnsi" w:eastAsiaTheme="minorEastAsia" w:cstheme="minorBidi"/>
      <w:sz w:val="22"/>
      <w:szCs w:val="22"/>
      <w:lang w:val="en-US" w:eastAsia="zh-CN" w:bidi="ar-SA"/>
    </w:rPr>
  </w:style>
  <w:style w:type="character" w:customStyle="1" w:styleId="26">
    <w:name w:val="无间隔 字符"/>
    <w:basedOn w:val="14"/>
    <w:link w:val="25"/>
    <w:qFormat/>
    <w:uiPriority w:val="1"/>
    <w:rPr>
      <w:sz w:val="22"/>
      <w:szCs w:val="22"/>
    </w:rPr>
  </w:style>
  <w:style w:type="character" w:customStyle="1" w:styleId="27">
    <w:name w:val="UserStyle_1"/>
    <w:semiHidden/>
    <w:qFormat/>
    <w:uiPriority w:val="0"/>
  </w:style>
  <w:style w:type="character" w:customStyle="1" w:styleId="28">
    <w:name w:val="批注框文本 字符"/>
    <w:basedOn w:val="14"/>
    <w:link w:val="7"/>
    <w:semiHidden/>
    <w:qFormat/>
    <w:uiPriority w:val="99"/>
    <w:rPr>
      <w:rFonts w:eastAsia="仿宋"/>
      <w:kern w:val="2"/>
      <w:sz w:val="18"/>
      <w:szCs w:val="18"/>
    </w:rPr>
  </w:style>
  <w:style w:type="paragraph" w:customStyle="1" w:styleId="29">
    <w:name w:val="TOC 标题2"/>
    <w:basedOn w:val="2"/>
    <w:next w:val="1"/>
    <w:unhideWhenUsed/>
    <w:qFormat/>
    <w:uiPriority w:val="39"/>
    <w:pPr>
      <w:widowControl/>
      <w:spacing w:before="240" w:line="259" w:lineRule="auto"/>
      <w:ind w:firstLine="0" w:firstLineChars="0"/>
      <w:jc w:val="left"/>
      <w:outlineLvl w:val="9"/>
    </w:pPr>
    <w:rPr>
      <w:rFonts w:asciiTheme="majorHAnsi" w:hAnsiTheme="majorHAnsi" w:eastAsiaTheme="majorEastAsia" w:cstheme="majorBidi"/>
      <w:b/>
      <w:bCs w:val="0"/>
      <w:color w:val="376092" w:themeColor="accent1" w:themeShade="BF"/>
      <w:kern w:val="0"/>
      <w:szCs w:val="32"/>
    </w:rPr>
  </w:style>
  <w:style w:type="table" w:customStyle="1" w:styleId="30">
    <w:name w:val="网格型1"/>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
    <w:name w:val="网格型2"/>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
    <w:name w:val="网格型3"/>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
    <w:name w:val="网格型4"/>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
    <w:name w:val="网格型5"/>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2D45E-6B2E-4BA5-8F0A-B8E93303DCFE}">
  <ds:schemaRefs/>
</ds:datastoreItem>
</file>

<file path=docProps/app.xml><?xml version="1.0" encoding="utf-8"?>
<Properties xmlns="http://schemas.openxmlformats.org/officeDocument/2006/extended-properties" xmlns:vt="http://schemas.openxmlformats.org/officeDocument/2006/docPropsVTypes">
  <Template>Normal</Template>
  <Company>巴彦淖尔市卫生健康委</Company>
  <Pages>40</Pages>
  <Words>22687</Words>
  <Characters>23372</Characters>
  <Lines>209</Lines>
  <Paragraphs>58</Paragraphs>
  <TotalTime>1</TotalTime>
  <ScaleCrop>false</ScaleCrop>
  <LinksUpToDate>false</LinksUpToDate>
  <CharactersWithSpaces>27865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2022-11-12T13:16:00Z</dcterms:created>
  <dc:creator>zj</dc:creator>
  <cp:lastModifiedBy>June.</cp:lastModifiedBy>
  <cp:lastPrinted>2022-11-12T13:16:00Z</cp:lastPrinted>
  <dcterms:modified xsi:type="dcterms:W3CDTF">2023-01-16T03:34:29Z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1BE96645054F4C7D84230A2BBCCD50DA</vt:lpwstr>
  </property>
</Properties>
</file>