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微软雅黑" w:hAnsi="微软雅黑" w:eastAsia="微软雅黑" w:cs="微软雅黑"/>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ascii="微软雅黑" w:hAnsi="微软雅黑" w:eastAsia="微软雅黑" w:cs="微软雅黑"/>
          <w:i w:val="0"/>
          <w:iCs w:val="0"/>
          <w:caps w:val="0"/>
          <w:color w:val="000000" w:themeColor="text1"/>
          <w:spacing w:val="0"/>
          <w:kern w:val="0"/>
          <w:sz w:val="28"/>
          <w:szCs w:val="28"/>
          <w:shd w:val="clear" w:fill="FFFFFF"/>
          <w:lang w:val="en-US" w:eastAsia="zh-CN" w:bidi="ar"/>
          <w14:textFill>
            <w14:solidFill>
              <w14:schemeClr w14:val="tx1"/>
            </w14:solidFill>
          </w14:textFill>
        </w:rPr>
        <w:t>巴彦淖尔市人民政府办公室</w:t>
      </w:r>
    </w:p>
    <w:p>
      <w:pPr>
        <w:keepNext w:val="0"/>
        <w:keepLines w:val="0"/>
        <w:widowControl/>
        <w:suppressLineNumbers w:val="0"/>
        <w:jc w:val="center"/>
        <w:rPr>
          <w:color w:val="000000" w:themeColor="text1"/>
          <w14:textFill>
            <w14:solidFill>
              <w14:schemeClr w14:val="tx1"/>
            </w14:solidFill>
          </w14:textFill>
        </w:rPr>
      </w:pPr>
      <w:r>
        <w:rPr>
          <w:rFonts w:ascii="微软雅黑" w:hAnsi="微软雅黑" w:eastAsia="微软雅黑" w:cs="微软雅黑"/>
          <w:i w:val="0"/>
          <w:iCs w:val="0"/>
          <w:caps w:val="0"/>
          <w:color w:val="000000" w:themeColor="text1"/>
          <w:spacing w:val="0"/>
          <w:kern w:val="0"/>
          <w:sz w:val="28"/>
          <w:szCs w:val="28"/>
          <w:shd w:val="clear" w:fill="FFFFFF"/>
          <w:lang w:val="en-US" w:eastAsia="zh-CN" w:bidi="ar"/>
          <w14:textFill>
            <w14:solidFill>
              <w14:schemeClr w14:val="tx1"/>
            </w14:solidFill>
          </w14:textFill>
        </w:rPr>
        <w:t>关于印发《巴彦淖尔市控水控肥工作十条意见》的通知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各旗县区人民政府，市直有关部门：</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经市政府同意，现将《巴彦淖尔市控水控肥十条意见》印发给你们，请结合实际，认真贯彻执行。</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right"/>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巴彦淖尔市人民政府办公室</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right"/>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2022</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年4月1日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right"/>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center"/>
        <w:rPr>
          <w:rFonts w:hint="eastAsia" w:ascii="方正仿宋_GBK" w:hAnsi="方正仿宋_GBK" w:eastAsia="方正仿宋_GBK" w:cs="方正仿宋_GBK"/>
          <w:b/>
          <w:bCs/>
          <w:i w:val="0"/>
          <w:iCs w:val="0"/>
          <w:caps w:val="0"/>
          <w:color w:val="2F2F2F"/>
          <w:spacing w:val="0"/>
          <w:sz w:val="28"/>
          <w:szCs w:val="28"/>
        </w:rPr>
      </w:pPr>
      <w:r>
        <w:rPr>
          <w:rFonts w:hint="eastAsia" w:ascii="方正仿宋_GBK" w:hAnsi="方正仿宋_GBK" w:eastAsia="方正仿宋_GBK" w:cs="方正仿宋_GBK"/>
          <w:b/>
          <w:bCs/>
          <w:i w:val="0"/>
          <w:iCs w:val="0"/>
          <w:caps w:val="0"/>
          <w:color w:val="2F2F2F"/>
          <w:spacing w:val="0"/>
          <w:sz w:val="28"/>
          <w:szCs w:val="28"/>
          <w:bdr w:val="none" w:color="auto" w:sz="0" w:space="0"/>
          <w:shd w:val="clear" w:fill="FFFFFF"/>
        </w:rPr>
        <w:t>巴彦淖尔市控水控肥工作十条意见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为全面贯彻落实习近平总书记在黄河流域生态保护和高质量发展座谈会上提出的河套灌区要发展现代农业的重要指示精神，切实推动我市控水控肥工作，加快建设绿色农畜产品精深加工基地，结合我市实际，特制定以下十条意见。</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一、加强高标准农田建设。坚持大破大立原则，实行</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渠沟路林田水电技管</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全配套，同步实施节水灌溉、水肥一体化、土地平整、盐碱地改良等，切实解决土地碎片化、零散化问题，推动实现</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一户一块田”“一村一块田”。在“十四五”期间，完成</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238</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万亩高标准农田建设，项目区耕地地力提升</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1-2</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个等级，为控水控肥奠定坚实基础。</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二、推动土地规模化经营。按照提升农民专业合作社发展质量</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20</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条意见和土地流转实施办法，集中精力扶持壮大合作社，建立产业化联合体，加大招商引资力度，发展多种形式的规模经营，加速土地流转，力争每年新增集中连片流转土地</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20</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万亩以上，通过土地规模化经营，推动实现控肥增效和控水降耗。</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三、扩大水肥一体化面积。按照</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以水带肥、以肥促水、因水施肥、水肥耦合”的技术路径，全面开展引黄直滤滴灌，引黄澄清滴灌、膜下滴灌、无膜浅埋滴灌等水肥一体化新技术推广应用，积极推广移动式水肥一体化引黄直滤滴灌技术设备等新设备，力争每年新增水肥一体化面积20万亩以上。</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四、大力调整种植业结构。按照</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以水定城、以水定地、以水定人、以水定产”原则，引导广大农民调减高水肥作物种植面积，鼓励种植中药材、牧草、果树、豆类等低耗高效作物，推广小麦套葵花、小麦套玉米和瓜类、葫芦等经济作物间种葵花等立体栽培方式，高效利用水肥资源。严格落实黄河行洪区域内禁种高杆作物要求。在“十四五”期间，新增低水肥作物16万亩以上。</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五、强化农艺措施落实。控肥增效方面，突出农机农艺深度融合，积极推广追肥机械侧深施、种肥同播等技术，每年新增</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20</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万亩。发展智能化施肥系统，探索应用无底肥作物施肥模式，推进肥料施用精准化、施肥过程轻简化。大力推广纳米膜堆肥发酵等农家肥堆沤发酵新技术；扩大有机肥替代无机肥面积，每年新增20万亩。依托全市102家智能配肥站扩大测土配方施肥面积；积极推广配方肥、新型肥替代传统肥，每年新增30万亩。控水降耗方面，围绕水资源高效利用，全面推行农业水价综合改革，积极推广精准化灌溉制度、手机</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App</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技术、测控一体智能化配水及水费计收信息化等新技术，每年新增10万亩以上，每个旗县区建设</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1</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个农业灌溉信息化综合管理平台，实现从灌溉用水管理、农业水费收取、水权交易等全过程的信息化管理。全面开展农艺、农机相结合农业节水模式，应用一膜两用技术，适时机械深松、粉垄，促进光温水气等资源的高效利用和绿色可持续发展。</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六、发挥园区带动作用。各旗县区每年至少建设</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5</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个以上节水节肥科技示范园区、示范片，园区重点聚焦种植业结构调整、增施有机肥、新型肥料应用、水肥一体化、用水计量自动监测等内容进行集中示范展示，辐射带动广大农民推广应用各项新技术、新模式、新设备，以点带面提升治理效果。</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七、加强科技创新引领。抓住</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科技兴蒙”行动机遇，与中科院、中国农科院、中国农业大学、内蒙农科院、内蒙古农业大学等科研院校开展深度合作，依托2个院士工作站、26个博士工作站和16个科技小院，积极打造科技服务平台，重点解决节水节肥技术难题，集成一批可复制、可推广的节水节肥技术模式。</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八、发挥</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天赋河套”品牌作用。深入实施</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天赋河套”品牌战略，加强建设河套全域绿色有机高端农畜产品生产加工服务输出基地。通过“天赋河套”区域公用品牌引领，实现农产品溢价，倒逼农业清洁生产，倒逼各经营主体节水节肥。鼓励经营主体申请品牌授权，严格按照品牌质量标准生产，建设一批标准化规模化的绿色、有机农产品生产基地。</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15" w:lineRule="atLeast"/>
        <w:ind w:left="0" w:right="0" w:firstLine="0"/>
        <w:jc w:val="both"/>
        <w:rPr>
          <w:rFonts w:hint="eastAsia" w:ascii="方正仿宋_GBK" w:hAnsi="方正仿宋_GBK" w:eastAsia="方正仿宋_GBK" w:cs="方正仿宋_GBK"/>
          <w:i w:val="0"/>
          <w:iCs w:val="0"/>
          <w:caps w:val="0"/>
          <w:color w:val="2F2F2F"/>
          <w:spacing w:val="0"/>
          <w:sz w:val="28"/>
          <w:szCs w:val="28"/>
        </w:rPr>
      </w:pP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九、加大培训推广力度。通过室内培训会、田间地头实训、农技推广</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APP</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农信通服务平台、科技三下乡、微信课堂等方式，重点做好种植大户、家庭农场、农民专业合作社、农业企业、返乡涉农创业者等新型农业经营主体带头人的培训，实现一村一个技术应用带头人，一户一个技术明白人，不断扩大节水节肥技术覆盖范围。</w:t>
      </w:r>
      <w:r>
        <w:rPr>
          <w:rFonts w:hint="eastAsia" w:ascii="方正仿宋_GBK" w:hAnsi="方正仿宋_GBK" w:eastAsia="方正仿宋_GBK" w:cs="方正仿宋_GBK"/>
          <w:i w:val="0"/>
          <w:iCs w:val="0"/>
          <w:caps w:val="0"/>
          <w:color w:val="2F2F2F"/>
          <w:spacing w:val="0"/>
          <w:sz w:val="28"/>
          <w:szCs w:val="28"/>
          <w:bdr w:val="none" w:color="auto" w:sz="0" w:space="0"/>
          <w:shd w:val="clear" w:fill="FFFFFF"/>
        </w:rPr>
        <w:t> </w:t>
      </w:r>
    </w:p>
    <w:p>
      <w:pPr>
        <w:keepNext w:val="0"/>
        <w:keepLines w:val="0"/>
        <w:widowControl/>
        <w:suppressLineNumbers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2F2F2F"/>
          <w:spacing w:val="0"/>
          <w:kern w:val="0"/>
          <w:sz w:val="28"/>
          <w:szCs w:val="28"/>
          <w:bdr w:val="none" w:color="auto" w:sz="0" w:space="0"/>
          <w:shd w:val="clear" w:fill="FFFFFF"/>
          <w:lang w:val="en-US" w:eastAsia="zh-CN" w:bidi="ar"/>
        </w:rPr>
        <w:t>　　</w:t>
      </w:r>
      <w:r>
        <w:rPr>
          <w:rFonts w:hint="eastAsia" w:ascii="方正仿宋_GBK" w:hAnsi="方正仿宋_GBK" w:eastAsia="方正仿宋_GBK" w:cs="方正仿宋_GBK"/>
          <w:i w:val="0"/>
          <w:iCs w:val="0"/>
          <w:caps w:val="0"/>
          <w:color w:val="2F2F2F"/>
          <w:spacing w:val="0"/>
          <w:kern w:val="0"/>
          <w:sz w:val="28"/>
          <w:szCs w:val="28"/>
          <w:bdr w:val="none" w:color="auto" w:sz="0" w:space="0"/>
          <w:shd w:val="clear" w:fill="FFFFFF"/>
          <w:lang w:val="en-US" w:eastAsia="zh-CN" w:bidi="ar"/>
        </w:rPr>
        <w:t>十、全面落实属地责任。各旗县区要对标市本级安排的节水节肥目标，结合本地实际，细化任务，明确分工，将节水节肥各项任务措施落实到村，分解到户，健全档案资料，推动各项工作落地落实。市财政通过财政预算安排、整合各类涉农项目资金，对工作落实好的旗县区实行</w:t>
      </w:r>
      <w:r>
        <w:rPr>
          <w:rFonts w:hint="eastAsia" w:ascii="方正仿宋_GBK" w:hAnsi="方正仿宋_GBK" w:eastAsia="方正仿宋_GBK" w:cs="方正仿宋_GBK"/>
          <w:i w:val="0"/>
          <w:iCs w:val="0"/>
          <w:caps w:val="0"/>
          <w:color w:val="2F2F2F"/>
          <w:spacing w:val="0"/>
          <w:kern w:val="0"/>
          <w:sz w:val="28"/>
          <w:szCs w:val="28"/>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2F2F2F"/>
          <w:spacing w:val="0"/>
          <w:kern w:val="0"/>
          <w:sz w:val="28"/>
          <w:szCs w:val="28"/>
          <w:bdr w:val="none" w:color="auto" w:sz="0" w:space="0"/>
          <w:shd w:val="clear" w:fill="FFFFFF"/>
          <w:lang w:val="en-US" w:eastAsia="zh-CN" w:bidi="ar"/>
        </w:rPr>
        <w:t>以奖代补”，对工作落实不力的旗县区将严肃问责。</w:t>
      </w:r>
      <w:r>
        <w:rPr>
          <w:rFonts w:hint="eastAsia" w:ascii="方正仿宋_GBK" w:hAnsi="方正仿宋_GBK" w:eastAsia="方正仿宋_GBK" w:cs="方正仿宋_GBK"/>
          <w:i w:val="0"/>
          <w:iCs w:val="0"/>
          <w:caps w:val="0"/>
          <w:color w:val="2F2F2F"/>
          <w:spacing w:val="0"/>
          <w:kern w:val="0"/>
          <w:sz w:val="28"/>
          <w:szCs w:val="28"/>
          <w:shd w:val="clear" w:fill="FFFFFF"/>
          <w:lang w:val="en-US" w:eastAsia="zh-CN" w:bidi="ar"/>
        </w:rPr>
        <w:t> </w:t>
      </w:r>
    </w:p>
    <w:p>
      <w:pPr>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75EFF"/>
    <w:rsid w:val="7D77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huawei</dc:creator>
  <cp:lastModifiedBy>huawei</cp:lastModifiedBy>
  <dcterms:modified xsi:type="dcterms:W3CDTF">2023-11-22T18:44:36Z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440F64879CFB72B37FDA5D65EFCABD79</vt:lpwstr>
  </property>
</Properties>
</file>