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华文中宋" w:hAnsi="华文中宋" w:eastAsia="华文中宋"/>
          <w:sz w:val="40"/>
          <w:szCs w:val="40"/>
        </w:rPr>
        <w:t xml:space="preserve"> </w:t>
      </w:r>
      <w:bookmarkStart w:id="170" w:name="_GoBack"/>
      <w:r>
        <w:rPr>
          <w:rFonts w:hint="eastAsia" w:ascii="方正小标宋简体" w:hAnsi="方正小标宋简体" w:eastAsia="方正小标宋简体" w:cs="方正小标宋简体"/>
          <w:sz w:val="44"/>
          <w:szCs w:val="44"/>
        </w:rPr>
        <w:t>巴彦淖尔市人民政府办公室关于印发《巴彦淖尔市“十四五”科技创新规划》的通知</w:t>
      </w:r>
      <w:bookmarkEnd w:id="170"/>
    </w:p>
    <w:p>
      <w:pPr>
        <w:jc w:val="center"/>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各旗县区人民政府，巴彦淖尔经济技术开发区管委会，甘其毛都口岸管委会，市直各部门，驻市各单位，各直属企事业单位：</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《巴彦淖尔市“十四五”科技创新规划》已经市政府2022年第12次常务会议审议通过，现印发给你们，请结合实际，认真贯彻落实。</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jc w:val="both"/>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巴彦淖尔市人民政府办公室</w:t>
      </w:r>
    </w:p>
    <w:p>
      <w:pPr>
        <w:jc w:val="right"/>
        <w:rPr>
          <w:rFonts w:hint="eastAsia" w:ascii="华文中宋" w:hAnsi="华文中宋" w:eastAsia="华文中宋"/>
          <w:sz w:val="40"/>
          <w:szCs w:val="40"/>
        </w:rPr>
      </w:pPr>
      <w:r>
        <w:rPr>
          <w:rFonts w:hint="eastAsia" w:ascii="仿宋_GB2312" w:hAnsi="仿宋_GB2312" w:eastAsia="仿宋_GB2312" w:cs="仿宋_GB2312"/>
          <w:sz w:val="32"/>
          <w:szCs w:val="32"/>
        </w:rPr>
        <w:t>　　2022年7月1日</w:t>
      </w:r>
      <w:r>
        <w:rPr>
          <w:rFonts w:hint="eastAsia" w:ascii="华文中宋" w:hAnsi="华文中宋" w:eastAsia="华文中宋"/>
          <w:sz w:val="40"/>
          <w:szCs w:val="40"/>
        </w:rPr>
        <w:t xml:space="preserve">         </w:t>
      </w:r>
    </w:p>
    <w:p>
      <w:pPr>
        <w:jc w:val="both"/>
        <w:rPr>
          <w:rFonts w:hint="eastAsia" w:ascii="华文中宋" w:hAnsi="华文中宋" w:eastAsia="华文中宋"/>
          <w:sz w:val="40"/>
          <w:szCs w:val="40"/>
        </w:rPr>
      </w:pPr>
      <w:r>
        <w:rPr>
          <w:rFonts w:hint="eastAsia" w:ascii="华文中宋" w:hAnsi="华文中宋" w:eastAsia="华文中宋"/>
          <w:sz w:val="40"/>
          <w:szCs w:val="40"/>
        </w:rPr>
        <w:t>　　</w:t>
      </w:r>
    </w:p>
    <w:p>
      <w:pPr>
        <w:jc w:val="both"/>
        <w:rPr>
          <w:rFonts w:hint="eastAsia" w:ascii="华文中宋" w:hAnsi="华文中宋" w:eastAsia="华文中宋"/>
          <w:sz w:val="40"/>
          <w:szCs w:val="40"/>
        </w:rPr>
      </w:pPr>
    </w:p>
    <w:p>
      <w:pPr>
        <w:jc w:val="both"/>
        <w:rPr>
          <w:rFonts w:hint="eastAsia" w:ascii="华文中宋" w:hAnsi="华文中宋" w:eastAsia="华文中宋"/>
          <w:sz w:val="40"/>
          <w:szCs w:val="40"/>
        </w:rPr>
      </w:pPr>
    </w:p>
    <w:p>
      <w:pPr>
        <w:jc w:val="both"/>
        <w:rPr>
          <w:rFonts w:hint="eastAsia" w:ascii="华文中宋" w:hAnsi="华文中宋" w:eastAsia="华文中宋"/>
          <w:sz w:val="40"/>
          <w:szCs w:val="40"/>
        </w:rPr>
      </w:pPr>
    </w:p>
    <w:p>
      <w:pPr>
        <w:jc w:val="both"/>
        <w:rPr>
          <w:rFonts w:hint="eastAsia" w:ascii="华文中宋" w:hAnsi="华文中宋" w:eastAsia="华文中宋"/>
          <w:sz w:val="40"/>
          <w:szCs w:val="40"/>
        </w:rPr>
      </w:pPr>
    </w:p>
    <w:p>
      <w:pPr>
        <w:jc w:val="both"/>
        <w:rPr>
          <w:rFonts w:ascii="华文中宋" w:hAnsi="华文中宋" w:eastAsia="华文中宋"/>
          <w:sz w:val="40"/>
          <w:szCs w:val="40"/>
        </w:rPr>
      </w:pPr>
      <w:r>
        <w:rPr>
          <w:rFonts w:hint="eastAsia" w:ascii="华文中宋" w:hAnsi="华文中宋" w:eastAsia="华文中宋"/>
          <w:sz w:val="40"/>
          <w:szCs w:val="40"/>
        </w:rPr>
        <w:t>（此件公开发布）</w:t>
      </w:r>
    </w:p>
    <w:p>
      <w:pPr>
        <w:jc w:val="center"/>
        <w:rPr>
          <w:rFonts w:ascii="华文中宋" w:hAnsi="华文中宋" w:eastAsia="华文中宋"/>
          <w:sz w:val="40"/>
          <w:szCs w:val="40"/>
        </w:rPr>
      </w:pPr>
    </w:p>
    <w:p>
      <w:pPr>
        <w:jc w:val="center"/>
        <w:rPr>
          <w:rFonts w:ascii="华文中宋" w:hAnsi="华文中宋" w:eastAsia="华文中宋"/>
          <w:sz w:val="40"/>
          <w:szCs w:val="40"/>
        </w:rPr>
      </w:pPr>
    </w:p>
    <w:p>
      <w:pPr>
        <w:jc w:val="center"/>
        <w:rPr>
          <w:rFonts w:ascii="华文中宋" w:hAnsi="华文中宋" w:eastAsia="华文中宋"/>
          <w:sz w:val="40"/>
          <w:szCs w:val="40"/>
        </w:rPr>
      </w:pPr>
    </w:p>
    <w:p>
      <w:pPr>
        <w:spacing w:line="720" w:lineRule="exact"/>
        <w:jc w:val="center"/>
        <w:rPr>
          <w:rFonts w:ascii="方正小标宋简体" w:hAnsi="方正小标宋简体" w:eastAsia="方正小标宋简体" w:cs="方正小标宋简体"/>
          <w:bCs/>
          <w:spacing w:val="20"/>
          <w:sz w:val="46"/>
          <w:szCs w:val="46"/>
        </w:rPr>
      </w:pPr>
      <w:r>
        <w:rPr>
          <w:rFonts w:hint="eastAsia" w:ascii="方正小标宋简体" w:hAnsi="方正小标宋简体" w:eastAsia="方正小标宋简体" w:cs="方正小标宋简体"/>
          <w:bCs/>
          <w:spacing w:val="20"/>
          <w:sz w:val="46"/>
          <w:szCs w:val="46"/>
        </w:rPr>
        <w:t>巴彦淖尔市“十四五”科技创新规划</w:t>
      </w:r>
    </w:p>
    <w:p>
      <w:pPr>
        <w:jc w:val="center"/>
        <w:rPr>
          <w:rFonts w:ascii="楷体_GB2312" w:eastAsia="楷体_GB2312"/>
          <w:sz w:val="28"/>
          <w:szCs w:val="28"/>
        </w:rPr>
      </w:pPr>
    </w:p>
    <w:p>
      <w:pPr>
        <w:jc w:val="center"/>
        <w:rPr>
          <w:rFonts w:ascii="楷体_GB2312" w:eastAsia="楷体_GB2312"/>
          <w:sz w:val="28"/>
          <w:szCs w:val="28"/>
        </w:rPr>
      </w:pPr>
    </w:p>
    <w:p>
      <w:pPr>
        <w:jc w:val="center"/>
        <w:rPr>
          <w:rFonts w:ascii="楷体_GB2312" w:eastAsia="楷体_GB2312"/>
          <w:sz w:val="28"/>
          <w:szCs w:val="28"/>
        </w:rPr>
      </w:pPr>
    </w:p>
    <w:p>
      <w:pPr>
        <w:jc w:val="center"/>
        <w:rPr>
          <w:rFonts w:ascii="楷体_GB2312" w:eastAsia="楷体_GB2312"/>
          <w:sz w:val="28"/>
          <w:szCs w:val="28"/>
        </w:rPr>
      </w:pPr>
    </w:p>
    <w:p>
      <w:pPr>
        <w:jc w:val="center"/>
        <w:rPr>
          <w:rFonts w:ascii="楷体_GB2312" w:eastAsia="楷体_GB2312"/>
          <w:sz w:val="28"/>
          <w:szCs w:val="28"/>
        </w:rPr>
      </w:pPr>
    </w:p>
    <w:p>
      <w:pPr>
        <w:jc w:val="center"/>
        <w:rPr>
          <w:rFonts w:ascii="楷体_GB2312" w:eastAsia="楷体_GB2312"/>
          <w:sz w:val="28"/>
          <w:szCs w:val="28"/>
        </w:rPr>
      </w:pPr>
    </w:p>
    <w:p>
      <w:pPr>
        <w:jc w:val="center"/>
        <w:rPr>
          <w:rFonts w:ascii="楷体_GB2312" w:eastAsia="楷体_GB2312"/>
          <w:sz w:val="28"/>
          <w:szCs w:val="28"/>
        </w:rPr>
      </w:pPr>
    </w:p>
    <w:p>
      <w:pPr>
        <w:jc w:val="center"/>
        <w:rPr>
          <w:rFonts w:ascii="楷体_GB2312" w:eastAsia="楷体_GB2312"/>
          <w:sz w:val="28"/>
          <w:szCs w:val="28"/>
        </w:rPr>
      </w:pPr>
    </w:p>
    <w:p>
      <w:pPr>
        <w:jc w:val="center"/>
        <w:rPr>
          <w:rFonts w:ascii="楷体_GB2312" w:eastAsia="楷体_GB2312"/>
          <w:sz w:val="28"/>
          <w:szCs w:val="28"/>
        </w:rPr>
      </w:pPr>
    </w:p>
    <w:p>
      <w:pPr>
        <w:jc w:val="center"/>
        <w:rPr>
          <w:rFonts w:ascii="楷体_GB2312" w:eastAsia="楷体_GB2312"/>
          <w:sz w:val="28"/>
          <w:szCs w:val="28"/>
        </w:rPr>
      </w:pPr>
    </w:p>
    <w:p>
      <w:pPr>
        <w:jc w:val="center"/>
        <w:rPr>
          <w:rFonts w:ascii="楷体_GB2312" w:eastAsia="楷体_GB2312"/>
          <w:sz w:val="28"/>
          <w:szCs w:val="28"/>
        </w:rPr>
      </w:pPr>
    </w:p>
    <w:p>
      <w:pPr>
        <w:widowControl/>
        <w:jc w:val="center"/>
        <w:rPr>
          <w:rFonts w:hint="eastAsia" w:ascii="黑体" w:hAnsi="黑体" w:eastAsia="黑体"/>
          <w:sz w:val="36"/>
          <w:szCs w:val="36"/>
        </w:rPr>
      </w:pPr>
    </w:p>
    <w:p>
      <w:pPr>
        <w:widowControl/>
        <w:jc w:val="center"/>
        <w:rPr>
          <w:rFonts w:hint="eastAsia" w:ascii="黑体" w:hAnsi="黑体" w:eastAsia="黑体"/>
          <w:sz w:val="36"/>
          <w:szCs w:val="36"/>
        </w:rPr>
      </w:pPr>
    </w:p>
    <w:p>
      <w:pPr>
        <w:widowControl/>
        <w:jc w:val="center"/>
        <w:rPr>
          <w:rFonts w:ascii="华文中宋" w:hAnsi="华文中宋" w:eastAsia="华文中宋"/>
          <w:sz w:val="36"/>
          <w:szCs w:val="36"/>
        </w:rPr>
        <w:sectPr>
          <w:pgSz w:w="11906" w:h="16838"/>
          <w:pgMar w:top="1440" w:right="1800" w:bottom="1440" w:left="1800" w:header="851" w:footer="992" w:gutter="0"/>
          <w:pgNumType w:fmt="upperRoman" w:start="1"/>
          <w:cols w:space="425" w:num="1"/>
          <w:docGrid w:type="lines" w:linePitch="312" w:charSpace="0"/>
        </w:sectPr>
      </w:pPr>
      <w:r>
        <w:rPr>
          <w:rFonts w:hint="eastAsia" w:ascii="黑体" w:hAnsi="黑体" w:eastAsia="黑体"/>
          <w:sz w:val="36"/>
          <w:szCs w:val="36"/>
        </w:rPr>
        <w:t>2022年</w:t>
      </w:r>
      <w:r>
        <w:rPr>
          <w:rFonts w:hint="eastAsia" w:ascii="黑体" w:hAnsi="黑体" w:eastAsia="黑体"/>
          <w:sz w:val="36"/>
          <w:szCs w:val="36"/>
          <w:lang w:val="en-US" w:eastAsia="zh-CN"/>
        </w:rPr>
        <w:t>6</w:t>
      </w:r>
      <w:r>
        <w:rPr>
          <w:rFonts w:hint="eastAsia" w:ascii="黑体" w:hAnsi="黑体" w:eastAsia="黑体"/>
          <w:sz w:val="36"/>
          <w:szCs w:val="36"/>
        </w:rPr>
        <w:t>月</w:t>
      </w:r>
    </w:p>
    <w:p>
      <w:pPr>
        <w:widowControl/>
        <w:jc w:val="center"/>
        <w:rPr>
          <w:rFonts w:ascii="华文中宋" w:hAnsi="华文中宋" w:eastAsia="华文中宋"/>
          <w:sz w:val="44"/>
          <w:szCs w:val="44"/>
        </w:rPr>
      </w:pPr>
      <w:r>
        <w:rPr>
          <w:rFonts w:hint="eastAsia" w:ascii="华文中宋" w:hAnsi="华文中宋" w:eastAsia="华文中宋"/>
          <w:sz w:val="44"/>
          <w:szCs w:val="44"/>
        </w:rPr>
        <w:t>目  录</w:t>
      </w:r>
    </w:p>
    <w:p>
      <w:pPr>
        <w:widowControl/>
        <w:jc w:val="center"/>
        <w:rPr>
          <w:rFonts w:ascii="华文中宋" w:hAnsi="华文中宋" w:eastAsia="华文中宋"/>
          <w:sz w:val="36"/>
          <w:szCs w:val="36"/>
        </w:rPr>
      </w:pPr>
    </w:p>
    <w:p>
      <w:pPr>
        <w:pStyle w:val="2"/>
        <w:tabs>
          <w:tab w:val="right" w:leader="dot" w:pos="8306"/>
        </w:tabs>
      </w:pPr>
      <w:r>
        <w:rPr>
          <w:rFonts w:ascii="华文中宋" w:hAnsi="华文中宋" w:eastAsia="华文中宋"/>
          <w:szCs w:val="24"/>
        </w:rPr>
        <w:fldChar w:fldCharType="begin"/>
      </w:r>
      <w:r>
        <w:rPr>
          <w:rFonts w:ascii="华文中宋" w:hAnsi="华文中宋" w:eastAsia="华文中宋"/>
          <w:szCs w:val="24"/>
        </w:rPr>
        <w:instrText xml:space="preserve"> TOC \o "1-3" \h \z \u </w:instrText>
      </w:r>
      <w:r>
        <w:rPr>
          <w:rFonts w:ascii="华文中宋" w:hAnsi="华文中宋" w:eastAsia="华文中宋"/>
          <w:szCs w:val="24"/>
        </w:rPr>
        <w:fldChar w:fldCharType="separate"/>
      </w:r>
      <w:r>
        <w:fldChar w:fldCharType="begin"/>
      </w:r>
      <w:r>
        <w:instrText xml:space="preserve"> HYPERLINK \l "_Toc10659" </w:instrText>
      </w:r>
      <w:r>
        <w:fldChar w:fldCharType="separate"/>
      </w:r>
      <w:r>
        <w:rPr>
          <w:rFonts w:hint="eastAsia"/>
        </w:rPr>
        <w:t>第一篇  践行高质量发展，绘制科技创新蓝图</w:t>
      </w:r>
      <w:r>
        <w:tab/>
      </w:r>
      <w:r>
        <w:fldChar w:fldCharType="begin"/>
      </w:r>
      <w:r>
        <w:instrText xml:space="preserve"> PAGEREF _Toc10659 \h </w:instrText>
      </w:r>
      <w:r>
        <w:fldChar w:fldCharType="separate"/>
      </w:r>
      <w:r>
        <w:t>2</w:t>
      </w:r>
      <w:r>
        <w:fldChar w:fldCharType="end"/>
      </w:r>
      <w:r>
        <w:fldChar w:fldCharType="end"/>
      </w:r>
    </w:p>
    <w:p>
      <w:pPr>
        <w:pStyle w:val="10"/>
        <w:tabs>
          <w:tab w:val="right" w:leader="dot" w:pos="8306"/>
        </w:tabs>
      </w:pPr>
      <w:r>
        <w:fldChar w:fldCharType="begin"/>
      </w:r>
      <w:r>
        <w:instrText xml:space="preserve"> HYPERLINK \l "_Toc28635" </w:instrText>
      </w:r>
      <w:r>
        <w:fldChar w:fldCharType="separate"/>
      </w:r>
      <w:r>
        <w:rPr>
          <w:rFonts w:hint="eastAsia"/>
        </w:rPr>
        <w:t>第一章  把握科技发展新态势</w:t>
      </w:r>
      <w:r>
        <w:tab/>
      </w:r>
      <w:r>
        <w:fldChar w:fldCharType="begin"/>
      </w:r>
      <w:r>
        <w:instrText xml:space="preserve"> PAGEREF _Toc28635 \h </w:instrText>
      </w:r>
      <w:r>
        <w:fldChar w:fldCharType="separate"/>
      </w:r>
      <w:r>
        <w:t>2</w:t>
      </w:r>
      <w:r>
        <w:fldChar w:fldCharType="end"/>
      </w:r>
      <w:r>
        <w:fldChar w:fldCharType="end"/>
      </w:r>
    </w:p>
    <w:p>
      <w:pPr>
        <w:pStyle w:val="6"/>
        <w:tabs>
          <w:tab w:val="right" w:leader="dot" w:pos="8306"/>
        </w:tabs>
      </w:pPr>
      <w:r>
        <w:fldChar w:fldCharType="begin"/>
      </w:r>
      <w:r>
        <w:instrText xml:space="preserve"> HYPERLINK \l "_Toc27096" </w:instrText>
      </w:r>
      <w:r>
        <w:fldChar w:fldCharType="separate"/>
      </w:r>
      <w:r>
        <w:rPr>
          <w:rFonts w:hint="eastAsia"/>
        </w:rPr>
        <w:t>第一节  “十三五”主要成就</w:t>
      </w:r>
      <w:r>
        <w:tab/>
      </w:r>
      <w:r>
        <w:fldChar w:fldCharType="begin"/>
      </w:r>
      <w:r>
        <w:instrText xml:space="preserve"> PAGEREF _Toc27096 \h </w:instrText>
      </w:r>
      <w:r>
        <w:fldChar w:fldCharType="separate"/>
      </w:r>
      <w:r>
        <w:t>2</w:t>
      </w:r>
      <w:r>
        <w:fldChar w:fldCharType="end"/>
      </w:r>
      <w:r>
        <w:fldChar w:fldCharType="end"/>
      </w:r>
    </w:p>
    <w:p>
      <w:pPr>
        <w:pStyle w:val="6"/>
        <w:tabs>
          <w:tab w:val="right" w:leader="dot" w:pos="8306"/>
        </w:tabs>
      </w:pPr>
      <w:r>
        <w:fldChar w:fldCharType="begin"/>
      </w:r>
      <w:r>
        <w:instrText xml:space="preserve"> HYPERLINK \l "_Toc15718" </w:instrText>
      </w:r>
      <w:r>
        <w:fldChar w:fldCharType="separate"/>
      </w:r>
      <w:r>
        <w:rPr>
          <w:rFonts w:hint="eastAsia"/>
        </w:rPr>
        <w:t>第二节  科技创新面临的形势</w:t>
      </w:r>
      <w:r>
        <w:tab/>
      </w:r>
      <w:r>
        <w:fldChar w:fldCharType="begin"/>
      </w:r>
      <w:r>
        <w:instrText xml:space="preserve"> PAGEREF _Toc15718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"_Toc18392" </w:instrText>
      </w:r>
      <w:r>
        <w:fldChar w:fldCharType="separate"/>
      </w:r>
      <w:r>
        <w:rPr>
          <w:rFonts w:hint="eastAsia"/>
        </w:rPr>
        <w:t>第二章  “十四五”发展蓝图</w:t>
      </w:r>
      <w:r>
        <w:tab/>
      </w:r>
      <w:r>
        <w:fldChar w:fldCharType="begin"/>
      </w:r>
      <w:r>
        <w:instrText xml:space="preserve"> PAGEREF _Toc18392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"_Toc31776" </w:instrText>
      </w:r>
      <w:r>
        <w:fldChar w:fldCharType="separate"/>
      </w:r>
      <w:r>
        <w:rPr>
          <w:rFonts w:hint="eastAsia"/>
        </w:rPr>
        <w:t>第一节  指导思想和基本原则</w:t>
      </w:r>
      <w:r>
        <w:tab/>
      </w:r>
      <w:r>
        <w:fldChar w:fldCharType="begin"/>
      </w:r>
      <w:r>
        <w:instrText xml:space="preserve"> PAGEREF _Toc31776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"_Toc31651" </w:instrText>
      </w:r>
      <w:r>
        <w:fldChar w:fldCharType="separate"/>
      </w:r>
      <w:r>
        <w:rPr>
          <w:rFonts w:hint="eastAsia"/>
        </w:rPr>
        <w:t>第二节  战略定位</w:t>
      </w:r>
      <w:r>
        <w:tab/>
      </w:r>
      <w:r>
        <w:fldChar w:fldCharType="begin"/>
      </w:r>
      <w:r>
        <w:instrText xml:space="preserve"> PAGEREF _Toc31651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"_Toc8822" </w:instrText>
      </w:r>
      <w:r>
        <w:fldChar w:fldCharType="separate"/>
      </w:r>
      <w:r>
        <w:rPr>
          <w:rFonts w:hint="eastAsia"/>
        </w:rPr>
        <w:t>第三节  发展目标</w:t>
      </w:r>
      <w:r>
        <w:tab/>
      </w:r>
      <w:r>
        <w:fldChar w:fldCharType="begin"/>
      </w:r>
      <w:r>
        <w:instrText xml:space="preserve"> PAGEREF _Toc8822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"_Toc3735" </w:instrText>
      </w:r>
      <w:r>
        <w:fldChar w:fldCharType="separate"/>
      </w:r>
      <w:r>
        <w:rPr>
          <w:rFonts w:hint="eastAsia"/>
        </w:rPr>
        <w:t>第四节  系统谋划新局</w:t>
      </w:r>
      <w:r>
        <w:tab/>
      </w:r>
      <w:r>
        <w:fldChar w:fldCharType="begin"/>
      </w:r>
      <w:r>
        <w:instrText xml:space="preserve"> PAGEREF _Toc3735 \h </w:instrText>
      </w:r>
      <w:r>
        <w:fldChar w:fldCharType="separate"/>
      </w:r>
      <w:r>
        <w:t>11</w:t>
      </w:r>
      <w:r>
        <w:fldChar w:fldCharType="end"/>
      </w:r>
      <w:r>
        <w:fldChar w:fldCharType="end"/>
      </w:r>
    </w:p>
    <w:p>
      <w:pPr>
        <w:pStyle w:val="2"/>
        <w:tabs>
          <w:tab w:val="right" w:leader="dot" w:pos="8306"/>
        </w:tabs>
      </w:pPr>
      <w:r>
        <w:fldChar w:fldCharType="begin"/>
      </w:r>
      <w:r>
        <w:instrText xml:space="preserve"> HYPERLINK \l "_Toc30294" </w:instrText>
      </w:r>
      <w:r>
        <w:fldChar w:fldCharType="separate"/>
      </w:r>
      <w:r>
        <w:rPr>
          <w:rFonts w:hint="eastAsia"/>
        </w:rPr>
        <w:t>第二篇  提高自主创新能力，构建高效区域创新体系</w:t>
      </w:r>
      <w:r>
        <w:tab/>
      </w:r>
      <w:r>
        <w:fldChar w:fldCharType="begin"/>
      </w:r>
      <w:r>
        <w:instrText xml:space="preserve"> PAGEREF _Toc30294 \h </w:instrText>
      </w:r>
      <w:r>
        <w:fldChar w:fldCharType="separate"/>
      </w:r>
      <w:r>
        <w:t>12</w:t>
      </w:r>
      <w:r>
        <w:fldChar w:fldCharType="end"/>
      </w:r>
      <w:r>
        <w:fldChar w:fldCharType="end"/>
      </w:r>
    </w:p>
    <w:p>
      <w:pPr>
        <w:pStyle w:val="10"/>
        <w:tabs>
          <w:tab w:val="right" w:leader="dot" w:pos="8306"/>
        </w:tabs>
      </w:pPr>
      <w:r>
        <w:fldChar w:fldCharType="begin"/>
      </w:r>
      <w:r>
        <w:instrText xml:space="preserve"> HYPERLINK \l "_Toc4328" </w:instrText>
      </w:r>
      <w:r>
        <w:fldChar w:fldCharType="separate"/>
      </w:r>
      <w:r>
        <w:rPr>
          <w:rFonts w:hint="eastAsia"/>
        </w:rPr>
        <w:t>第三章  提高自主创新能力</w:t>
      </w:r>
      <w:r>
        <w:tab/>
      </w:r>
      <w:r>
        <w:fldChar w:fldCharType="begin"/>
      </w:r>
      <w:r>
        <w:instrText xml:space="preserve"> PAGEREF _Toc4328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"_Toc2353" </w:instrText>
      </w:r>
      <w:r>
        <w:fldChar w:fldCharType="separate"/>
      </w:r>
      <w:r>
        <w:rPr>
          <w:rFonts w:hint="eastAsia"/>
        </w:rPr>
        <w:t>第一节  加强应用基础研究</w:t>
      </w:r>
      <w:r>
        <w:tab/>
      </w:r>
      <w:r>
        <w:fldChar w:fldCharType="begin"/>
      </w:r>
      <w:r>
        <w:instrText xml:space="preserve"> PAGEREF _Toc2353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"_Toc20491" </w:instrText>
      </w:r>
      <w:r>
        <w:fldChar w:fldCharType="separate"/>
      </w:r>
      <w:r>
        <w:rPr>
          <w:rFonts w:hint="eastAsia"/>
        </w:rPr>
        <w:t>第二节  以科技重大专项带动关键技术突破</w:t>
      </w:r>
      <w:r>
        <w:tab/>
      </w:r>
      <w:r>
        <w:fldChar w:fldCharType="begin"/>
      </w:r>
      <w:r>
        <w:instrText xml:space="preserve"> PAGEREF _Toc20491 \h </w:instrText>
      </w:r>
      <w:r>
        <w:fldChar w:fldCharType="separate"/>
      </w:r>
      <w:r>
        <w:t>13</w:t>
      </w:r>
      <w:r>
        <w:fldChar w:fldCharType="end"/>
      </w:r>
      <w:r>
        <w:fldChar w:fldCharType="end"/>
      </w:r>
    </w:p>
    <w:p>
      <w:pPr>
        <w:pStyle w:val="6"/>
        <w:tabs>
          <w:tab w:val="right" w:leader="dot" w:pos="8306"/>
        </w:tabs>
      </w:pPr>
      <w:r>
        <w:fldChar w:fldCharType="begin"/>
      </w:r>
      <w:r>
        <w:instrText xml:space="preserve"> HYPERLINK \l "_Toc5452" </w:instrText>
      </w:r>
      <w:r>
        <w:fldChar w:fldCharType="separate"/>
      </w:r>
      <w:r>
        <w:rPr>
          <w:rFonts w:hint="eastAsia"/>
        </w:rPr>
        <w:t>第三节  强化企业自主创新主体作用</w:t>
      </w:r>
      <w:r>
        <w:tab/>
      </w:r>
      <w:r>
        <w:fldChar w:fldCharType="begin"/>
      </w:r>
      <w:r>
        <w:instrText xml:space="preserve"> PAGEREF _Toc5452 \h </w:instrText>
      </w:r>
      <w:r>
        <w:fldChar w:fldCharType="separate"/>
      </w:r>
      <w:r>
        <w:t>14</w:t>
      </w:r>
      <w:r>
        <w:fldChar w:fldCharType="end"/>
      </w:r>
      <w:r>
        <w:fldChar w:fldCharType="end"/>
      </w:r>
    </w:p>
    <w:p>
      <w:pPr>
        <w:pStyle w:val="6"/>
        <w:tabs>
          <w:tab w:val="right" w:leader="dot" w:pos="8306"/>
        </w:tabs>
      </w:pPr>
      <w:r>
        <w:fldChar w:fldCharType="begin"/>
      </w:r>
      <w:r>
        <w:instrText xml:space="preserve"> HYPERLINK \l "_Toc15691" </w:instrText>
      </w:r>
      <w:r>
        <w:fldChar w:fldCharType="separate"/>
      </w:r>
      <w:r>
        <w:rPr>
          <w:rFonts w:hint="eastAsia"/>
        </w:rPr>
        <w:t>第四节  提升科研机构与高等院校创新能力</w:t>
      </w:r>
      <w:r>
        <w:tab/>
      </w:r>
      <w:r>
        <w:fldChar w:fldCharType="begin"/>
      </w:r>
      <w:r>
        <w:instrText xml:space="preserve"> PAGEREF _Toc15691 \h </w:instrText>
      </w:r>
      <w:r>
        <w:fldChar w:fldCharType="separate"/>
      </w:r>
      <w:r>
        <w:t>15</w:t>
      </w:r>
      <w:r>
        <w:fldChar w:fldCharType="end"/>
      </w:r>
      <w:r>
        <w:fldChar w:fldCharType="end"/>
      </w:r>
    </w:p>
    <w:p>
      <w:pPr>
        <w:pStyle w:val="10"/>
        <w:tabs>
          <w:tab w:val="right" w:leader="dot" w:pos="8306"/>
        </w:tabs>
      </w:pPr>
      <w:r>
        <w:fldChar w:fldCharType="begin"/>
      </w:r>
      <w:r>
        <w:instrText xml:space="preserve"> HYPERLINK \l "_Toc20091" </w:instrText>
      </w:r>
      <w:r>
        <w:fldChar w:fldCharType="separate"/>
      </w:r>
      <w:r>
        <w:rPr>
          <w:rFonts w:hint="eastAsia"/>
        </w:rPr>
        <w:t>第四章  建设高效区域创新体系</w:t>
      </w:r>
      <w:r>
        <w:tab/>
      </w:r>
      <w:r>
        <w:fldChar w:fldCharType="begin"/>
      </w:r>
      <w:r>
        <w:instrText xml:space="preserve"> PAGEREF _Toc20091 \h </w:instrText>
      </w:r>
      <w:r>
        <w:fldChar w:fldCharType="separate"/>
      </w:r>
      <w:r>
        <w:t>16</w:t>
      </w:r>
      <w:r>
        <w:fldChar w:fldCharType="end"/>
      </w:r>
      <w:r>
        <w:fldChar w:fldCharType="end"/>
      </w:r>
    </w:p>
    <w:p>
      <w:pPr>
        <w:pStyle w:val="6"/>
        <w:tabs>
          <w:tab w:val="right" w:leader="dot" w:pos="8306"/>
        </w:tabs>
      </w:pPr>
      <w:r>
        <w:fldChar w:fldCharType="begin"/>
      </w:r>
      <w:r>
        <w:instrText xml:space="preserve"> HYPERLINK \l "_Toc28183" </w:instrText>
      </w:r>
      <w:r>
        <w:fldChar w:fldCharType="separate"/>
      </w:r>
      <w:r>
        <w:rPr>
          <w:rFonts w:hint="eastAsia"/>
        </w:rPr>
        <w:t>第一节  建设国家农业高新技术产业示范区</w:t>
      </w:r>
      <w:r>
        <w:tab/>
      </w:r>
      <w:r>
        <w:fldChar w:fldCharType="begin"/>
      </w:r>
      <w:r>
        <w:instrText xml:space="preserve"> PAGEREF _Toc28183 \h </w:instrText>
      </w:r>
      <w:r>
        <w:fldChar w:fldCharType="separate"/>
      </w:r>
      <w:r>
        <w:t>16</w:t>
      </w:r>
      <w:r>
        <w:fldChar w:fldCharType="end"/>
      </w:r>
      <w:r>
        <w:fldChar w:fldCharType="end"/>
      </w:r>
    </w:p>
    <w:p>
      <w:pPr>
        <w:pStyle w:val="6"/>
        <w:tabs>
          <w:tab w:val="right" w:leader="dot" w:pos="8306"/>
        </w:tabs>
      </w:pPr>
      <w:r>
        <w:fldChar w:fldCharType="begin"/>
      </w:r>
      <w:r>
        <w:instrText xml:space="preserve"> HYPERLINK \l "_Toc2478" </w:instrText>
      </w:r>
      <w:r>
        <w:fldChar w:fldCharType="separate"/>
      </w:r>
      <w:r>
        <w:rPr>
          <w:rFonts w:hint="eastAsia"/>
        </w:rPr>
        <w:t>第二节  扎实推进科技园区</w:t>
      </w:r>
      <w:r>
        <w:rPr>
          <w:rFonts w:hint="eastAsia"/>
          <w:lang w:eastAsia="zh-CN"/>
        </w:rPr>
        <w:t>、</w:t>
      </w:r>
      <w:r>
        <w:rPr>
          <w:rFonts w:hint="eastAsia"/>
        </w:rPr>
        <w:t>基地建设与优化布局</w:t>
      </w:r>
      <w:r>
        <w:tab/>
      </w:r>
      <w:r>
        <w:fldChar w:fldCharType="begin"/>
      </w:r>
      <w:r>
        <w:instrText xml:space="preserve"> PAGEREF _Toc2478 \h </w:instrText>
      </w:r>
      <w:r>
        <w:fldChar w:fldCharType="separate"/>
      </w:r>
      <w:r>
        <w:t>19</w:t>
      </w:r>
      <w:r>
        <w:fldChar w:fldCharType="end"/>
      </w:r>
      <w:r>
        <w:fldChar w:fldCharType="end"/>
      </w:r>
    </w:p>
    <w:p>
      <w:pPr>
        <w:pStyle w:val="6"/>
        <w:tabs>
          <w:tab w:val="right" w:leader="dot" w:pos="8306"/>
        </w:tabs>
      </w:pPr>
      <w:r>
        <w:fldChar w:fldCharType="begin"/>
      </w:r>
      <w:r>
        <w:instrText xml:space="preserve"> HYPERLINK \l "_Toc11223" </w:instrText>
      </w:r>
      <w:r>
        <w:fldChar w:fldCharType="separate"/>
      </w:r>
      <w:r>
        <w:rPr>
          <w:rFonts w:hint="eastAsia"/>
        </w:rPr>
        <w:t>第三节  提升创新平台建设水平</w:t>
      </w:r>
      <w:r>
        <w:tab/>
      </w:r>
      <w:r>
        <w:fldChar w:fldCharType="begin"/>
      </w:r>
      <w:r>
        <w:instrText xml:space="preserve"> PAGEREF _Toc11223 \h </w:instrText>
      </w:r>
      <w:r>
        <w:fldChar w:fldCharType="separate"/>
      </w:r>
      <w:r>
        <w:t>21</w:t>
      </w:r>
      <w:r>
        <w:fldChar w:fldCharType="end"/>
      </w:r>
      <w:r>
        <w:fldChar w:fldCharType="end"/>
      </w:r>
    </w:p>
    <w:p>
      <w:pPr>
        <w:pStyle w:val="2"/>
        <w:tabs>
          <w:tab w:val="right" w:leader="dot" w:pos="8306"/>
        </w:tabs>
      </w:pPr>
      <w:r>
        <w:fldChar w:fldCharType="begin"/>
      </w:r>
      <w:r>
        <w:instrText xml:space="preserve"> HYPERLINK \l "_Toc31232" </w:instrText>
      </w:r>
      <w:r>
        <w:fldChar w:fldCharType="separate"/>
      </w:r>
      <w:r>
        <w:rPr>
          <w:rFonts w:hint="eastAsia"/>
        </w:rPr>
        <w:t>第三篇  引领发展现代农牧业，构筑乡村振兴科技基础</w:t>
      </w:r>
      <w:r>
        <w:tab/>
      </w:r>
      <w:r>
        <w:fldChar w:fldCharType="begin"/>
      </w:r>
      <w:r>
        <w:instrText xml:space="preserve"> PAGEREF _Toc31232 \h </w:instrText>
      </w:r>
      <w:r>
        <w:fldChar w:fldCharType="separate"/>
      </w:r>
      <w:r>
        <w:t>23</w:t>
      </w:r>
      <w:r>
        <w:fldChar w:fldCharType="end"/>
      </w:r>
      <w:r>
        <w:fldChar w:fldCharType="end"/>
      </w:r>
    </w:p>
    <w:p>
      <w:pPr>
        <w:pStyle w:val="10"/>
        <w:tabs>
          <w:tab w:val="right" w:leader="dot" w:pos="8306"/>
        </w:tabs>
      </w:pPr>
      <w:r>
        <w:fldChar w:fldCharType="begin"/>
      </w:r>
      <w:r>
        <w:instrText xml:space="preserve"> HYPERLINK \l "_Toc30533" </w:instrText>
      </w:r>
      <w:r>
        <w:fldChar w:fldCharType="separate"/>
      </w:r>
      <w:r>
        <w:rPr>
          <w:rFonts w:hint="eastAsia"/>
        </w:rPr>
        <w:t>第五章  引领农牧业高质量发展</w:t>
      </w:r>
      <w:r>
        <w:tab/>
      </w:r>
      <w:r>
        <w:fldChar w:fldCharType="begin"/>
      </w:r>
      <w:r>
        <w:instrText xml:space="preserve"> PAGEREF _Toc30533 \h </w:instrText>
      </w:r>
      <w:r>
        <w:fldChar w:fldCharType="separate"/>
      </w:r>
      <w:r>
        <w:t>24</w:t>
      </w:r>
      <w:r>
        <w:fldChar w:fldCharType="end"/>
      </w:r>
      <w:r>
        <w:fldChar w:fldCharType="end"/>
      </w:r>
    </w:p>
    <w:p>
      <w:pPr>
        <w:pStyle w:val="6"/>
        <w:tabs>
          <w:tab w:val="right" w:leader="dot" w:pos="8306"/>
        </w:tabs>
      </w:pPr>
      <w:r>
        <w:fldChar w:fldCharType="begin"/>
      </w:r>
      <w:r>
        <w:instrText xml:space="preserve"> HYPERLINK \l "_Toc30504" </w:instrText>
      </w:r>
      <w:r>
        <w:fldChar w:fldCharType="separate"/>
      </w:r>
      <w:r>
        <w:rPr>
          <w:rFonts w:hint="eastAsia"/>
        </w:rPr>
        <w:t>第一节  推动种业创新发展</w:t>
      </w:r>
      <w:r>
        <w:tab/>
      </w:r>
      <w:r>
        <w:fldChar w:fldCharType="begin"/>
      </w:r>
      <w:r>
        <w:instrText xml:space="preserve"> PAGEREF _Toc30504 \h </w:instrText>
      </w:r>
      <w:r>
        <w:fldChar w:fldCharType="separate"/>
      </w:r>
      <w:r>
        <w:t>24</w:t>
      </w:r>
      <w:r>
        <w:fldChar w:fldCharType="end"/>
      </w:r>
      <w:r>
        <w:fldChar w:fldCharType="end"/>
      </w:r>
    </w:p>
    <w:p>
      <w:pPr>
        <w:pStyle w:val="6"/>
        <w:tabs>
          <w:tab w:val="right" w:leader="dot" w:pos="8306"/>
        </w:tabs>
      </w:pPr>
      <w:r>
        <w:fldChar w:fldCharType="begin"/>
      </w:r>
      <w:r>
        <w:instrText xml:space="preserve"> HYPERLINK \l "_Toc17302" </w:instrText>
      </w:r>
      <w:r>
        <w:fldChar w:fldCharType="separate"/>
      </w:r>
      <w:r>
        <w:rPr>
          <w:rFonts w:hint="eastAsia"/>
        </w:rPr>
        <w:t>第二节  突破种养殖关键技术</w:t>
      </w:r>
      <w:r>
        <w:tab/>
      </w:r>
      <w:r>
        <w:fldChar w:fldCharType="begin"/>
      </w:r>
      <w:r>
        <w:instrText xml:space="preserve"> PAGEREF _Toc17302 \h </w:instrText>
      </w:r>
      <w:r>
        <w:fldChar w:fldCharType="separate"/>
      </w:r>
      <w:r>
        <w:t>25</w:t>
      </w:r>
      <w:r>
        <w:fldChar w:fldCharType="end"/>
      </w:r>
      <w:r>
        <w:fldChar w:fldCharType="end"/>
      </w:r>
    </w:p>
    <w:p>
      <w:pPr>
        <w:pStyle w:val="6"/>
        <w:tabs>
          <w:tab w:val="right" w:leader="dot" w:pos="8306"/>
        </w:tabs>
      </w:pPr>
      <w:r>
        <w:fldChar w:fldCharType="begin"/>
      </w:r>
      <w:r>
        <w:instrText xml:space="preserve"> HYPERLINK \l "_Toc8312" </w:instrText>
      </w:r>
      <w:r>
        <w:fldChar w:fldCharType="separate"/>
      </w:r>
      <w:r>
        <w:rPr>
          <w:rFonts w:hint="eastAsia"/>
        </w:rPr>
        <w:t>第三节  集成草业关键技术</w:t>
      </w:r>
      <w:r>
        <w:tab/>
      </w:r>
      <w:r>
        <w:fldChar w:fldCharType="begin"/>
      </w:r>
      <w:r>
        <w:instrText xml:space="preserve"> PAGEREF _Toc8312 \h </w:instrText>
      </w:r>
      <w:r>
        <w:fldChar w:fldCharType="separate"/>
      </w:r>
      <w:r>
        <w:t>29</w:t>
      </w:r>
      <w:r>
        <w:fldChar w:fldCharType="end"/>
      </w:r>
      <w:r>
        <w:fldChar w:fldCharType="end"/>
      </w:r>
    </w:p>
    <w:p>
      <w:pPr>
        <w:pStyle w:val="6"/>
        <w:tabs>
          <w:tab w:val="right" w:leader="dot" w:pos="8306"/>
        </w:tabs>
      </w:pPr>
      <w:r>
        <w:fldChar w:fldCharType="begin"/>
      </w:r>
      <w:r>
        <w:instrText xml:space="preserve"> HYPERLINK \l "_Toc4096" </w:instrText>
      </w:r>
      <w:r>
        <w:fldChar w:fldCharType="separate"/>
      </w:r>
      <w:r>
        <w:rPr>
          <w:rFonts w:hint="eastAsia"/>
        </w:rPr>
        <w:t>第四节  提升“天赋河套”品牌内涵</w:t>
      </w:r>
      <w:r>
        <w:tab/>
      </w:r>
      <w:r>
        <w:fldChar w:fldCharType="begin"/>
      </w:r>
      <w:r>
        <w:instrText xml:space="preserve"> PAGEREF _Toc4096 \h </w:instrText>
      </w:r>
      <w:r>
        <w:fldChar w:fldCharType="separate"/>
      </w:r>
      <w:r>
        <w:t>29</w:t>
      </w:r>
      <w:r>
        <w:fldChar w:fldCharType="end"/>
      </w:r>
      <w:r>
        <w:fldChar w:fldCharType="end"/>
      </w:r>
    </w:p>
    <w:p>
      <w:pPr>
        <w:pStyle w:val="10"/>
        <w:tabs>
          <w:tab w:val="right" w:leader="dot" w:pos="8306"/>
        </w:tabs>
      </w:pPr>
      <w:r>
        <w:fldChar w:fldCharType="begin"/>
      </w:r>
      <w:r>
        <w:instrText xml:space="preserve"> HYPERLINK \l "_Toc2254" </w:instrText>
      </w:r>
      <w:r>
        <w:fldChar w:fldCharType="separate"/>
      </w:r>
      <w:r>
        <w:rPr>
          <w:rFonts w:hint="eastAsia"/>
        </w:rPr>
        <w:t>第六章  筑牢乡村振兴科技支撑</w:t>
      </w:r>
      <w:r>
        <w:tab/>
      </w:r>
      <w:r>
        <w:fldChar w:fldCharType="begin"/>
      </w:r>
      <w:r>
        <w:instrText xml:space="preserve"> PAGEREF _Toc2254 \h </w:instrText>
      </w:r>
      <w:r>
        <w:fldChar w:fldCharType="separate"/>
      </w:r>
      <w:r>
        <w:t>31</w:t>
      </w:r>
      <w:r>
        <w:fldChar w:fldCharType="end"/>
      </w:r>
      <w:r>
        <w:fldChar w:fldCharType="end"/>
      </w:r>
    </w:p>
    <w:p>
      <w:pPr>
        <w:pStyle w:val="6"/>
        <w:tabs>
          <w:tab w:val="right" w:leader="dot" w:pos="8306"/>
        </w:tabs>
      </w:pPr>
      <w:r>
        <w:fldChar w:fldCharType="begin"/>
      </w:r>
      <w:r>
        <w:instrText xml:space="preserve"> HYPERLINK \l "_Toc31327" </w:instrText>
      </w:r>
      <w:r>
        <w:fldChar w:fldCharType="separate"/>
      </w:r>
      <w:r>
        <w:rPr>
          <w:rFonts w:hint="eastAsia"/>
        </w:rPr>
        <w:t>第一节  促进建设宜居美丽乡村</w:t>
      </w:r>
      <w:r>
        <w:tab/>
      </w:r>
      <w:r>
        <w:fldChar w:fldCharType="begin"/>
      </w:r>
      <w:r>
        <w:instrText xml:space="preserve"> PAGEREF _Toc31327 \h </w:instrText>
      </w:r>
      <w:r>
        <w:fldChar w:fldCharType="separate"/>
      </w:r>
      <w:r>
        <w:t>31</w:t>
      </w:r>
      <w:r>
        <w:fldChar w:fldCharType="end"/>
      </w:r>
      <w:r>
        <w:fldChar w:fldCharType="end"/>
      </w:r>
    </w:p>
    <w:p>
      <w:pPr>
        <w:pStyle w:val="6"/>
        <w:tabs>
          <w:tab w:val="right" w:leader="dot" w:pos="8306"/>
        </w:tabs>
      </w:pPr>
      <w:r>
        <w:fldChar w:fldCharType="begin"/>
      </w:r>
      <w:r>
        <w:instrText xml:space="preserve"> HYPERLINK \l "_Toc15146" </w:instrText>
      </w:r>
      <w:r>
        <w:fldChar w:fldCharType="separate"/>
      </w:r>
      <w:r>
        <w:rPr>
          <w:rFonts w:hint="eastAsia"/>
        </w:rPr>
        <w:t>第二节  构建新型农村牧区科技服务体系</w:t>
      </w:r>
      <w:r>
        <w:tab/>
      </w:r>
      <w:r>
        <w:fldChar w:fldCharType="begin"/>
      </w:r>
      <w:r>
        <w:instrText xml:space="preserve"> PAGEREF _Toc15146 \h </w:instrText>
      </w:r>
      <w:r>
        <w:fldChar w:fldCharType="separate"/>
      </w:r>
      <w:r>
        <w:t>31</w:t>
      </w:r>
      <w:r>
        <w:fldChar w:fldCharType="end"/>
      </w:r>
      <w:r>
        <w:fldChar w:fldCharType="end"/>
      </w:r>
    </w:p>
    <w:p>
      <w:pPr>
        <w:pStyle w:val="6"/>
        <w:tabs>
          <w:tab w:val="right" w:leader="dot" w:pos="8306"/>
        </w:tabs>
      </w:pPr>
      <w:r>
        <w:fldChar w:fldCharType="begin"/>
      </w:r>
      <w:r>
        <w:instrText xml:space="preserve"> HYPERLINK \l "_Toc31748" </w:instrText>
      </w:r>
      <w:r>
        <w:fldChar w:fldCharType="separate"/>
      </w:r>
      <w:r>
        <w:rPr>
          <w:rFonts w:hint="eastAsia"/>
        </w:rPr>
        <w:t>第三节  提升农牧业科技成果转化推广水平</w:t>
      </w:r>
      <w:r>
        <w:tab/>
      </w:r>
      <w:r>
        <w:fldChar w:fldCharType="begin"/>
      </w:r>
      <w:r>
        <w:instrText xml:space="preserve"> PAGEREF _Toc31748 \h </w:instrText>
      </w:r>
      <w:r>
        <w:fldChar w:fldCharType="separate"/>
      </w:r>
      <w:r>
        <w:t>32</w:t>
      </w:r>
      <w:r>
        <w:fldChar w:fldCharType="end"/>
      </w:r>
      <w:r>
        <w:fldChar w:fldCharType="end"/>
      </w:r>
    </w:p>
    <w:p>
      <w:pPr>
        <w:pStyle w:val="2"/>
        <w:tabs>
          <w:tab w:val="right" w:leader="dot" w:pos="8306"/>
        </w:tabs>
      </w:pPr>
      <w:r>
        <w:fldChar w:fldCharType="begin"/>
      </w:r>
      <w:r>
        <w:instrText xml:space="preserve"> HYPERLINK \l "_Toc9404" </w:instrText>
      </w:r>
      <w:r>
        <w:fldChar w:fldCharType="separate"/>
      </w:r>
      <w:r>
        <w:rPr>
          <w:rFonts w:hint="eastAsia"/>
        </w:rPr>
        <w:t>第四篇  引领构建现代产业技术体系</w:t>
      </w:r>
      <w:r>
        <w:tab/>
      </w:r>
      <w:r>
        <w:fldChar w:fldCharType="begin"/>
      </w:r>
      <w:r>
        <w:instrText xml:space="preserve"> PAGEREF _Toc9404 \h </w:instrText>
      </w:r>
      <w:r>
        <w:fldChar w:fldCharType="separate"/>
      </w:r>
      <w:r>
        <w:t>33</w:t>
      </w:r>
      <w:r>
        <w:fldChar w:fldCharType="end"/>
      </w:r>
      <w:r>
        <w:fldChar w:fldCharType="end"/>
      </w:r>
    </w:p>
    <w:p>
      <w:pPr>
        <w:pStyle w:val="10"/>
        <w:tabs>
          <w:tab w:val="right" w:leader="dot" w:pos="8306"/>
        </w:tabs>
      </w:pPr>
      <w:r>
        <w:fldChar w:fldCharType="begin"/>
      </w:r>
      <w:r>
        <w:instrText xml:space="preserve"> HYPERLINK \l "_Toc18928" </w:instrText>
      </w:r>
      <w:r>
        <w:fldChar w:fldCharType="separate"/>
      </w:r>
      <w:r>
        <w:rPr>
          <w:rFonts w:hint="eastAsia"/>
        </w:rPr>
        <w:t>第七章  促进传统优势产业转型升级</w:t>
      </w:r>
      <w:r>
        <w:tab/>
      </w:r>
      <w:r>
        <w:fldChar w:fldCharType="begin"/>
      </w:r>
      <w:r>
        <w:instrText xml:space="preserve"> PAGEREF _Toc18928 \h </w:instrText>
      </w:r>
      <w:r>
        <w:fldChar w:fldCharType="separate"/>
      </w:r>
      <w:r>
        <w:t>33</w:t>
      </w:r>
      <w:r>
        <w:fldChar w:fldCharType="end"/>
      </w:r>
      <w:r>
        <w:fldChar w:fldCharType="end"/>
      </w:r>
    </w:p>
    <w:p>
      <w:pPr>
        <w:pStyle w:val="6"/>
        <w:tabs>
          <w:tab w:val="right" w:leader="dot" w:pos="8306"/>
        </w:tabs>
      </w:pPr>
      <w:r>
        <w:fldChar w:fldCharType="begin"/>
      </w:r>
      <w:r>
        <w:instrText xml:space="preserve"> HYPERLINK \l "_Toc6318" </w:instrText>
      </w:r>
      <w:r>
        <w:fldChar w:fldCharType="separate"/>
      </w:r>
      <w:r>
        <w:rPr>
          <w:rFonts w:hint="eastAsia"/>
        </w:rPr>
        <w:t>第一节  建设绿色农畜产品加工基地</w:t>
      </w:r>
      <w:r>
        <w:tab/>
      </w:r>
      <w:r>
        <w:fldChar w:fldCharType="begin"/>
      </w:r>
      <w:r>
        <w:instrText xml:space="preserve"> PAGEREF _Toc6318 \h </w:instrText>
      </w:r>
      <w:r>
        <w:fldChar w:fldCharType="separate"/>
      </w:r>
      <w:r>
        <w:t>33</w:t>
      </w:r>
      <w:r>
        <w:fldChar w:fldCharType="end"/>
      </w:r>
      <w:r>
        <w:fldChar w:fldCharType="end"/>
      </w:r>
    </w:p>
    <w:p>
      <w:pPr>
        <w:pStyle w:val="6"/>
        <w:tabs>
          <w:tab w:val="right" w:leader="dot" w:pos="8306"/>
        </w:tabs>
      </w:pPr>
      <w:r>
        <w:fldChar w:fldCharType="begin"/>
      </w:r>
      <w:r>
        <w:instrText xml:space="preserve"> HYPERLINK \l "_Toc23570" </w:instrText>
      </w:r>
      <w:r>
        <w:fldChar w:fldCharType="separate"/>
      </w:r>
      <w:r>
        <w:rPr>
          <w:rFonts w:hint="eastAsia"/>
        </w:rPr>
        <w:t>第二节  建设清洁能源基地</w:t>
      </w:r>
      <w:r>
        <w:tab/>
      </w:r>
      <w:r>
        <w:fldChar w:fldCharType="begin"/>
      </w:r>
      <w:r>
        <w:instrText xml:space="preserve"> PAGEREF _Toc23570 \h </w:instrText>
      </w:r>
      <w:r>
        <w:fldChar w:fldCharType="separate"/>
      </w:r>
      <w:r>
        <w:t>34</w:t>
      </w:r>
      <w:r>
        <w:fldChar w:fldCharType="end"/>
      </w:r>
      <w:r>
        <w:fldChar w:fldCharType="end"/>
      </w:r>
    </w:p>
    <w:p>
      <w:pPr>
        <w:pStyle w:val="6"/>
        <w:tabs>
          <w:tab w:val="right" w:leader="dot" w:pos="8306"/>
        </w:tabs>
      </w:pPr>
      <w:r>
        <w:fldChar w:fldCharType="begin"/>
      </w:r>
      <w:r>
        <w:instrText xml:space="preserve"> HYPERLINK \l "_Toc31549" </w:instrText>
      </w:r>
      <w:r>
        <w:fldChar w:fldCharType="separate"/>
      </w:r>
      <w:r>
        <w:rPr>
          <w:rFonts w:hint="eastAsia"/>
        </w:rPr>
        <w:t>第三节  打造新型化工冶金产业集群</w:t>
      </w:r>
      <w:r>
        <w:tab/>
      </w:r>
      <w:r>
        <w:fldChar w:fldCharType="begin"/>
      </w:r>
      <w:r>
        <w:instrText xml:space="preserve"> PAGEREF _Toc31549 \h </w:instrText>
      </w:r>
      <w:r>
        <w:fldChar w:fldCharType="separate"/>
      </w:r>
      <w:r>
        <w:t>35</w:t>
      </w:r>
      <w:r>
        <w:fldChar w:fldCharType="end"/>
      </w:r>
      <w:r>
        <w:fldChar w:fldCharType="end"/>
      </w:r>
    </w:p>
    <w:p>
      <w:pPr>
        <w:pStyle w:val="10"/>
        <w:tabs>
          <w:tab w:val="right" w:leader="dot" w:pos="8306"/>
        </w:tabs>
      </w:pPr>
      <w:r>
        <w:fldChar w:fldCharType="begin"/>
      </w:r>
      <w:r>
        <w:instrText xml:space="preserve"> HYPERLINK \l "_Toc19192" </w:instrText>
      </w:r>
      <w:r>
        <w:fldChar w:fldCharType="separate"/>
      </w:r>
      <w:r>
        <w:rPr>
          <w:rFonts w:hint="eastAsia"/>
        </w:rPr>
        <w:t>第八章  加快培育新兴产业</w:t>
      </w:r>
      <w:r>
        <w:tab/>
      </w:r>
      <w:r>
        <w:fldChar w:fldCharType="begin"/>
      </w:r>
      <w:r>
        <w:instrText xml:space="preserve"> PAGEREF _Toc19192 \h </w:instrText>
      </w:r>
      <w:r>
        <w:fldChar w:fldCharType="separate"/>
      </w:r>
      <w:r>
        <w:t>37</w:t>
      </w:r>
      <w:r>
        <w:fldChar w:fldCharType="end"/>
      </w:r>
      <w:r>
        <w:fldChar w:fldCharType="end"/>
      </w:r>
    </w:p>
    <w:p>
      <w:pPr>
        <w:pStyle w:val="6"/>
        <w:tabs>
          <w:tab w:val="right" w:leader="dot" w:pos="8306"/>
        </w:tabs>
      </w:pPr>
      <w:r>
        <w:fldChar w:fldCharType="begin"/>
      </w:r>
      <w:r>
        <w:instrText xml:space="preserve"> HYPERLINK \l "_Toc29672" </w:instrText>
      </w:r>
      <w:r>
        <w:fldChar w:fldCharType="separate"/>
      </w:r>
      <w:r>
        <w:rPr>
          <w:rFonts w:hint="eastAsia"/>
        </w:rPr>
        <w:t>第一节  以大数据技术推动数字经济发展</w:t>
      </w:r>
      <w:r>
        <w:tab/>
      </w:r>
      <w:r>
        <w:fldChar w:fldCharType="begin"/>
      </w:r>
      <w:r>
        <w:instrText xml:space="preserve"> PAGEREF _Toc29672 \h </w:instrText>
      </w:r>
      <w:r>
        <w:fldChar w:fldCharType="separate"/>
      </w:r>
      <w:r>
        <w:t>37</w:t>
      </w:r>
      <w:r>
        <w:fldChar w:fldCharType="end"/>
      </w:r>
      <w:r>
        <w:fldChar w:fldCharType="end"/>
      </w:r>
    </w:p>
    <w:p>
      <w:pPr>
        <w:pStyle w:val="6"/>
        <w:tabs>
          <w:tab w:val="right" w:leader="dot" w:pos="8306"/>
        </w:tabs>
      </w:pPr>
      <w:r>
        <w:fldChar w:fldCharType="begin"/>
      </w:r>
      <w:r>
        <w:instrText xml:space="preserve"> HYPERLINK \l "_Toc11170" </w:instrText>
      </w:r>
      <w:r>
        <w:fldChar w:fldCharType="separate"/>
      </w:r>
      <w:r>
        <w:rPr>
          <w:rFonts w:hint="eastAsia"/>
        </w:rPr>
        <w:t>第二节  提升新一代信息技术</w:t>
      </w:r>
      <w:r>
        <w:tab/>
      </w:r>
      <w:r>
        <w:fldChar w:fldCharType="begin"/>
      </w:r>
      <w:r>
        <w:instrText xml:space="preserve"> PAGEREF _Toc11170 \h </w:instrText>
      </w:r>
      <w:r>
        <w:fldChar w:fldCharType="separate"/>
      </w:r>
      <w:r>
        <w:t>38</w:t>
      </w:r>
      <w:r>
        <w:fldChar w:fldCharType="end"/>
      </w:r>
      <w:r>
        <w:fldChar w:fldCharType="end"/>
      </w:r>
    </w:p>
    <w:p>
      <w:pPr>
        <w:pStyle w:val="6"/>
        <w:tabs>
          <w:tab w:val="right" w:leader="dot" w:pos="8306"/>
        </w:tabs>
      </w:pPr>
      <w:r>
        <w:fldChar w:fldCharType="begin"/>
      </w:r>
      <w:r>
        <w:instrText xml:space="preserve"> HYPERLINK \l "_Toc15367" </w:instrText>
      </w:r>
      <w:r>
        <w:fldChar w:fldCharType="separate"/>
      </w:r>
      <w:r>
        <w:rPr>
          <w:rFonts w:hint="eastAsia"/>
        </w:rPr>
        <w:t>第三节  支撑现代装备制造产业集群发展</w:t>
      </w:r>
      <w:r>
        <w:tab/>
      </w:r>
      <w:r>
        <w:fldChar w:fldCharType="begin"/>
      </w:r>
      <w:r>
        <w:instrText xml:space="preserve"> PAGEREF _Toc15367 \h </w:instrText>
      </w:r>
      <w:r>
        <w:fldChar w:fldCharType="separate"/>
      </w:r>
      <w:r>
        <w:t>39</w:t>
      </w:r>
      <w:r>
        <w:fldChar w:fldCharType="end"/>
      </w:r>
      <w:r>
        <w:fldChar w:fldCharType="end"/>
      </w:r>
    </w:p>
    <w:p>
      <w:pPr>
        <w:pStyle w:val="6"/>
        <w:tabs>
          <w:tab w:val="right" w:leader="dot" w:pos="8306"/>
        </w:tabs>
      </w:pPr>
      <w:r>
        <w:fldChar w:fldCharType="begin"/>
      </w:r>
      <w:r>
        <w:instrText xml:space="preserve"> HYPERLINK \l "_Toc13970" </w:instrText>
      </w:r>
      <w:r>
        <w:fldChar w:fldCharType="separate"/>
      </w:r>
      <w:r>
        <w:rPr>
          <w:rFonts w:hint="eastAsia"/>
        </w:rPr>
        <w:t>第四节  支撑新材料产业集群发展</w:t>
      </w:r>
      <w:r>
        <w:tab/>
      </w:r>
      <w:r>
        <w:fldChar w:fldCharType="begin"/>
      </w:r>
      <w:r>
        <w:instrText xml:space="preserve"> PAGEREF _Toc13970 \h </w:instrText>
      </w:r>
      <w:r>
        <w:fldChar w:fldCharType="separate"/>
      </w:r>
      <w:r>
        <w:t>40</w:t>
      </w:r>
      <w:r>
        <w:fldChar w:fldCharType="end"/>
      </w:r>
      <w:r>
        <w:fldChar w:fldCharType="end"/>
      </w:r>
    </w:p>
    <w:p>
      <w:pPr>
        <w:pStyle w:val="6"/>
        <w:tabs>
          <w:tab w:val="right" w:leader="dot" w:pos="8306"/>
        </w:tabs>
      </w:pPr>
      <w:r>
        <w:fldChar w:fldCharType="begin"/>
      </w:r>
      <w:r>
        <w:instrText xml:space="preserve"> HYPERLINK \l "_Toc3184" </w:instrText>
      </w:r>
      <w:r>
        <w:fldChar w:fldCharType="separate"/>
      </w:r>
      <w:r>
        <w:rPr>
          <w:rFonts w:hint="eastAsia"/>
        </w:rPr>
        <w:t>第五节  支撑现代生物医药产业集群发展</w:t>
      </w:r>
      <w:r>
        <w:tab/>
      </w:r>
      <w:r>
        <w:fldChar w:fldCharType="begin"/>
      </w:r>
      <w:r>
        <w:instrText xml:space="preserve"> PAGEREF _Toc3184 \h </w:instrText>
      </w:r>
      <w:r>
        <w:fldChar w:fldCharType="separate"/>
      </w:r>
      <w:r>
        <w:t>40</w:t>
      </w:r>
      <w:r>
        <w:fldChar w:fldCharType="end"/>
      </w:r>
      <w:r>
        <w:fldChar w:fldCharType="end"/>
      </w:r>
    </w:p>
    <w:p>
      <w:pPr>
        <w:pStyle w:val="2"/>
        <w:tabs>
          <w:tab w:val="right" w:leader="dot" w:pos="8306"/>
        </w:tabs>
      </w:pPr>
      <w:r>
        <w:fldChar w:fldCharType="begin"/>
      </w:r>
      <w:r>
        <w:instrText xml:space="preserve"> HYPERLINK \l "_Toc8260" </w:instrText>
      </w:r>
      <w:r>
        <w:fldChar w:fldCharType="separate"/>
      </w:r>
      <w:r>
        <w:rPr>
          <w:rFonts w:hint="eastAsia"/>
        </w:rPr>
        <w:t>第五篇  支撑生态环境改善，筑牢生态安全屏障</w:t>
      </w:r>
      <w:r>
        <w:tab/>
      </w:r>
      <w:r>
        <w:fldChar w:fldCharType="begin"/>
      </w:r>
      <w:r>
        <w:instrText xml:space="preserve"> PAGEREF _Toc8260 \h </w:instrText>
      </w:r>
      <w:r>
        <w:fldChar w:fldCharType="separate"/>
      </w:r>
      <w:r>
        <w:t>41</w:t>
      </w:r>
      <w:r>
        <w:fldChar w:fldCharType="end"/>
      </w:r>
      <w:r>
        <w:fldChar w:fldCharType="end"/>
      </w:r>
    </w:p>
    <w:p>
      <w:pPr>
        <w:pStyle w:val="10"/>
        <w:tabs>
          <w:tab w:val="right" w:leader="dot" w:pos="8306"/>
        </w:tabs>
      </w:pPr>
      <w:r>
        <w:fldChar w:fldCharType="begin"/>
      </w:r>
      <w:r>
        <w:instrText xml:space="preserve"> HYPERLINK \l "_Toc12975" </w:instrText>
      </w:r>
      <w:r>
        <w:fldChar w:fldCharType="separate"/>
      </w:r>
      <w:r>
        <w:rPr>
          <w:rFonts w:hint="eastAsia"/>
        </w:rPr>
        <w:t>第九章  构建流域综合治理技术体系</w:t>
      </w:r>
      <w:r>
        <w:tab/>
      </w:r>
      <w:r>
        <w:fldChar w:fldCharType="begin"/>
      </w:r>
      <w:r>
        <w:instrText xml:space="preserve"> PAGEREF _Toc12975 \h </w:instrText>
      </w:r>
      <w:r>
        <w:fldChar w:fldCharType="separate"/>
      </w:r>
      <w:r>
        <w:t>41</w:t>
      </w:r>
      <w:r>
        <w:fldChar w:fldCharType="end"/>
      </w:r>
      <w:r>
        <w:fldChar w:fldCharType="end"/>
      </w:r>
    </w:p>
    <w:p>
      <w:pPr>
        <w:pStyle w:val="6"/>
        <w:tabs>
          <w:tab w:val="right" w:leader="dot" w:pos="8306"/>
        </w:tabs>
      </w:pPr>
      <w:r>
        <w:fldChar w:fldCharType="begin"/>
      </w:r>
      <w:r>
        <w:instrText xml:space="preserve"> HYPERLINK \l "_Toc10025" </w:instrText>
      </w:r>
      <w:r>
        <w:fldChar w:fldCharType="separate"/>
      </w:r>
      <w:r>
        <w:rPr>
          <w:rFonts w:hint="eastAsia"/>
        </w:rPr>
        <w:t>第一节  乌梁素海生态环境综合治理</w:t>
      </w:r>
      <w:r>
        <w:tab/>
      </w:r>
      <w:r>
        <w:fldChar w:fldCharType="begin"/>
      </w:r>
      <w:r>
        <w:instrText xml:space="preserve"> PAGEREF _Toc10025 \h </w:instrText>
      </w:r>
      <w:r>
        <w:fldChar w:fldCharType="separate"/>
      </w:r>
      <w:r>
        <w:t>41</w:t>
      </w:r>
      <w:r>
        <w:fldChar w:fldCharType="end"/>
      </w:r>
      <w:r>
        <w:fldChar w:fldCharType="end"/>
      </w:r>
    </w:p>
    <w:p>
      <w:pPr>
        <w:pStyle w:val="6"/>
        <w:tabs>
          <w:tab w:val="right" w:leader="dot" w:pos="8306"/>
        </w:tabs>
      </w:pPr>
      <w:r>
        <w:fldChar w:fldCharType="begin"/>
      </w:r>
      <w:r>
        <w:instrText xml:space="preserve"> HYPERLINK \l "_Toc17976" </w:instrText>
      </w:r>
      <w:r>
        <w:fldChar w:fldCharType="separate"/>
      </w:r>
      <w:r>
        <w:rPr>
          <w:rFonts w:hint="eastAsia"/>
        </w:rPr>
        <w:t>第二节  河套灌区生态保护</w:t>
      </w:r>
      <w:r>
        <w:tab/>
      </w:r>
      <w:r>
        <w:fldChar w:fldCharType="begin"/>
      </w:r>
      <w:r>
        <w:instrText xml:space="preserve"> PAGEREF _Toc17976 \h </w:instrText>
      </w:r>
      <w:r>
        <w:fldChar w:fldCharType="separate"/>
      </w:r>
      <w:r>
        <w:t>42</w:t>
      </w:r>
      <w:r>
        <w:fldChar w:fldCharType="end"/>
      </w:r>
      <w:r>
        <w:fldChar w:fldCharType="end"/>
      </w:r>
    </w:p>
    <w:p>
      <w:pPr>
        <w:pStyle w:val="10"/>
        <w:tabs>
          <w:tab w:val="right" w:leader="dot" w:pos="8306"/>
        </w:tabs>
      </w:pPr>
      <w:r>
        <w:fldChar w:fldCharType="begin"/>
      </w:r>
      <w:r>
        <w:instrText xml:space="preserve"> HYPERLINK \l "_Toc13449" </w:instrText>
      </w:r>
      <w:r>
        <w:fldChar w:fldCharType="separate"/>
      </w:r>
      <w:r>
        <w:rPr>
          <w:rFonts w:hint="eastAsia"/>
        </w:rPr>
        <w:t>第十章  提升生态保护修复技术支撑</w:t>
      </w:r>
      <w:r>
        <w:tab/>
      </w:r>
      <w:r>
        <w:fldChar w:fldCharType="begin"/>
      </w:r>
      <w:r>
        <w:instrText xml:space="preserve"> PAGEREF _Toc13449 \h </w:instrText>
      </w:r>
      <w:r>
        <w:fldChar w:fldCharType="separate"/>
      </w:r>
      <w:r>
        <w:t>43</w:t>
      </w:r>
      <w:r>
        <w:fldChar w:fldCharType="end"/>
      </w:r>
      <w:r>
        <w:fldChar w:fldCharType="end"/>
      </w:r>
    </w:p>
    <w:p>
      <w:pPr>
        <w:pStyle w:val="6"/>
        <w:tabs>
          <w:tab w:val="right" w:leader="dot" w:pos="8306"/>
        </w:tabs>
      </w:pPr>
      <w:r>
        <w:fldChar w:fldCharType="begin"/>
      </w:r>
      <w:r>
        <w:instrText xml:space="preserve"> HYPERLINK \l "_Toc1101" </w:instrText>
      </w:r>
      <w:r>
        <w:fldChar w:fldCharType="separate"/>
      </w:r>
      <w:r>
        <w:rPr>
          <w:rFonts w:hint="eastAsia"/>
        </w:rPr>
        <w:t>第一节  水环境保护与综合节水技术</w:t>
      </w:r>
      <w:r>
        <w:tab/>
      </w:r>
      <w:r>
        <w:fldChar w:fldCharType="begin"/>
      </w:r>
      <w:r>
        <w:instrText xml:space="preserve"> PAGEREF _Toc1101 \h </w:instrText>
      </w:r>
      <w:r>
        <w:fldChar w:fldCharType="separate"/>
      </w:r>
      <w:r>
        <w:t>43</w:t>
      </w:r>
      <w:r>
        <w:fldChar w:fldCharType="end"/>
      </w:r>
      <w:r>
        <w:fldChar w:fldCharType="end"/>
      </w:r>
    </w:p>
    <w:p>
      <w:pPr>
        <w:pStyle w:val="6"/>
        <w:tabs>
          <w:tab w:val="right" w:leader="dot" w:pos="8306"/>
        </w:tabs>
      </w:pPr>
      <w:r>
        <w:fldChar w:fldCharType="begin"/>
      </w:r>
      <w:r>
        <w:instrText xml:space="preserve"> HYPERLINK \l "_Toc3403" </w:instrText>
      </w:r>
      <w:r>
        <w:fldChar w:fldCharType="separate"/>
      </w:r>
      <w:r>
        <w:rPr>
          <w:rFonts w:hint="eastAsia"/>
        </w:rPr>
        <w:t>第二节  林草退化生态系统恢复技术体系</w:t>
      </w:r>
      <w:r>
        <w:tab/>
      </w:r>
      <w:r>
        <w:fldChar w:fldCharType="begin"/>
      </w:r>
      <w:r>
        <w:instrText xml:space="preserve"> PAGEREF _Toc3403 \h </w:instrText>
      </w:r>
      <w:r>
        <w:fldChar w:fldCharType="separate"/>
      </w:r>
      <w:r>
        <w:t>44</w:t>
      </w:r>
      <w:r>
        <w:fldChar w:fldCharType="end"/>
      </w:r>
      <w:r>
        <w:fldChar w:fldCharType="end"/>
      </w:r>
    </w:p>
    <w:p>
      <w:pPr>
        <w:pStyle w:val="6"/>
        <w:tabs>
          <w:tab w:val="right" w:leader="dot" w:pos="8306"/>
        </w:tabs>
      </w:pPr>
      <w:r>
        <w:fldChar w:fldCharType="begin"/>
      </w:r>
      <w:r>
        <w:instrText xml:space="preserve"> HYPERLINK \l "_Toc28706" </w:instrText>
      </w:r>
      <w:r>
        <w:fldChar w:fldCharType="separate"/>
      </w:r>
      <w:r>
        <w:rPr>
          <w:rFonts w:hint="eastAsia"/>
        </w:rPr>
        <w:t>第三节  沙漠生态系统综合治理技术</w:t>
      </w:r>
      <w:r>
        <w:tab/>
      </w:r>
      <w:r>
        <w:fldChar w:fldCharType="begin"/>
      </w:r>
      <w:r>
        <w:instrText xml:space="preserve"> PAGEREF _Toc28706 \h </w:instrText>
      </w:r>
      <w:r>
        <w:fldChar w:fldCharType="separate"/>
      </w:r>
      <w:r>
        <w:t>46</w:t>
      </w:r>
      <w:r>
        <w:fldChar w:fldCharType="end"/>
      </w:r>
      <w:r>
        <w:fldChar w:fldCharType="end"/>
      </w:r>
    </w:p>
    <w:p>
      <w:pPr>
        <w:pStyle w:val="6"/>
        <w:tabs>
          <w:tab w:val="right" w:leader="dot" w:pos="8306"/>
        </w:tabs>
      </w:pPr>
      <w:r>
        <w:fldChar w:fldCharType="begin"/>
      </w:r>
      <w:r>
        <w:instrText xml:space="preserve"> HYPERLINK \l "_Toc23063" </w:instrText>
      </w:r>
      <w:r>
        <w:fldChar w:fldCharType="separate"/>
      </w:r>
      <w:r>
        <w:rPr>
          <w:rFonts w:hint="eastAsia"/>
        </w:rPr>
        <w:t>第四节  矿区复垦与生态修复技术</w:t>
      </w:r>
      <w:r>
        <w:tab/>
      </w:r>
      <w:r>
        <w:fldChar w:fldCharType="begin"/>
      </w:r>
      <w:r>
        <w:instrText xml:space="preserve"> PAGEREF _Toc23063 \h </w:instrText>
      </w:r>
      <w:r>
        <w:fldChar w:fldCharType="separate"/>
      </w:r>
      <w:r>
        <w:t>47</w:t>
      </w:r>
      <w:r>
        <w:fldChar w:fldCharType="end"/>
      </w:r>
      <w:r>
        <w:fldChar w:fldCharType="end"/>
      </w:r>
    </w:p>
    <w:p>
      <w:pPr>
        <w:pStyle w:val="10"/>
        <w:tabs>
          <w:tab w:val="right" w:leader="dot" w:pos="8306"/>
        </w:tabs>
      </w:pPr>
      <w:r>
        <w:fldChar w:fldCharType="begin"/>
      </w:r>
      <w:r>
        <w:instrText xml:space="preserve"> HYPERLINK \l "_Toc253" </w:instrText>
      </w:r>
      <w:r>
        <w:fldChar w:fldCharType="separate"/>
      </w:r>
      <w:r>
        <w:rPr>
          <w:rFonts w:hint="eastAsia"/>
        </w:rPr>
        <w:t>第十一章  强化环境保护与节能减排技术保障</w:t>
      </w:r>
      <w:r>
        <w:tab/>
      </w:r>
      <w:r>
        <w:fldChar w:fldCharType="begin"/>
      </w:r>
      <w:r>
        <w:instrText xml:space="preserve"> PAGEREF _Toc253 \h </w:instrText>
      </w:r>
      <w:r>
        <w:fldChar w:fldCharType="separate"/>
      </w:r>
      <w:r>
        <w:t>48</w:t>
      </w:r>
      <w:r>
        <w:fldChar w:fldCharType="end"/>
      </w:r>
      <w:r>
        <w:fldChar w:fldCharType="end"/>
      </w:r>
    </w:p>
    <w:p>
      <w:pPr>
        <w:pStyle w:val="6"/>
        <w:tabs>
          <w:tab w:val="right" w:leader="dot" w:pos="8306"/>
        </w:tabs>
      </w:pPr>
      <w:r>
        <w:fldChar w:fldCharType="begin"/>
      </w:r>
      <w:r>
        <w:instrText xml:space="preserve"> HYPERLINK \l "_Toc18799" </w:instrText>
      </w:r>
      <w:r>
        <w:fldChar w:fldCharType="separate"/>
      </w:r>
      <w:r>
        <w:rPr>
          <w:rFonts w:hint="eastAsia"/>
        </w:rPr>
        <w:t>第一节  提升污染防治与环境改善技术水平</w:t>
      </w:r>
      <w:r>
        <w:tab/>
      </w:r>
      <w:r>
        <w:fldChar w:fldCharType="begin"/>
      </w:r>
      <w:r>
        <w:instrText xml:space="preserve"> PAGEREF _Toc18799 \h </w:instrText>
      </w:r>
      <w:r>
        <w:fldChar w:fldCharType="separate"/>
      </w:r>
      <w:r>
        <w:t>48</w:t>
      </w:r>
      <w:r>
        <w:fldChar w:fldCharType="end"/>
      </w:r>
      <w:r>
        <w:fldChar w:fldCharType="end"/>
      </w:r>
    </w:p>
    <w:p>
      <w:pPr>
        <w:pStyle w:val="6"/>
        <w:tabs>
          <w:tab w:val="right" w:leader="dot" w:pos="8306"/>
        </w:tabs>
      </w:pPr>
      <w:r>
        <w:fldChar w:fldCharType="begin"/>
      </w:r>
      <w:r>
        <w:instrText xml:space="preserve"> HYPERLINK \l "_Toc13917" </w:instrText>
      </w:r>
      <w:r>
        <w:fldChar w:fldCharType="separate"/>
      </w:r>
      <w:r>
        <w:rPr>
          <w:rFonts w:hint="eastAsia"/>
        </w:rPr>
        <w:t>第二节  保障重点领域节能技术供给</w:t>
      </w:r>
      <w:r>
        <w:tab/>
      </w:r>
      <w:r>
        <w:fldChar w:fldCharType="begin"/>
      </w:r>
      <w:r>
        <w:instrText xml:space="preserve"> PAGEREF _Toc13917 \h </w:instrText>
      </w:r>
      <w:r>
        <w:fldChar w:fldCharType="separate"/>
      </w:r>
      <w:r>
        <w:t>49</w:t>
      </w:r>
      <w:r>
        <w:fldChar w:fldCharType="end"/>
      </w:r>
      <w:r>
        <w:fldChar w:fldCharType="end"/>
      </w:r>
    </w:p>
    <w:p>
      <w:pPr>
        <w:pStyle w:val="2"/>
        <w:tabs>
          <w:tab w:val="right" w:leader="dot" w:pos="8306"/>
        </w:tabs>
      </w:pPr>
      <w:r>
        <w:fldChar w:fldCharType="begin"/>
      </w:r>
      <w:r>
        <w:instrText xml:space="preserve"> HYPERLINK \l "_Toc25525" </w:instrText>
      </w:r>
      <w:r>
        <w:fldChar w:fldCharType="separate"/>
      </w:r>
      <w:r>
        <w:rPr>
          <w:rFonts w:hint="eastAsia"/>
        </w:rPr>
        <w:t>第六篇  增进民生福祉 保障公共安全</w:t>
      </w:r>
      <w:r>
        <w:tab/>
      </w:r>
      <w:r>
        <w:fldChar w:fldCharType="begin"/>
      </w:r>
      <w:r>
        <w:instrText xml:space="preserve"> PAGEREF _Toc25525 \h </w:instrText>
      </w:r>
      <w:r>
        <w:fldChar w:fldCharType="separate"/>
      </w:r>
      <w:r>
        <w:t>50</w:t>
      </w:r>
      <w:r>
        <w:fldChar w:fldCharType="end"/>
      </w:r>
      <w:r>
        <w:fldChar w:fldCharType="end"/>
      </w:r>
    </w:p>
    <w:p>
      <w:pPr>
        <w:pStyle w:val="10"/>
        <w:tabs>
          <w:tab w:val="right" w:leader="dot" w:pos="8306"/>
        </w:tabs>
      </w:pPr>
      <w:r>
        <w:fldChar w:fldCharType="begin"/>
      </w:r>
      <w:r>
        <w:instrText xml:space="preserve"> HYPERLINK \l "_Toc27257" </w:instrText>
      </w:r>
      <w:r>
        <w:fldChar w:fldCharType="separate"/>
      </w:r>
      <w:r>
        <w:rPr>
          <w:rFonts w:hint="eastAsia"/>
        </w:rPr>
        <w:t>第十二章  提高民众生活质量和健康保障</w:t>
      </w:r>
      <w:r>
        <w:tab/>
      </w:r>
      <w:r>
        <w:fldChar w:fldCharType="begin"/>
      </w:r>
      <w:r>
        <w:instrText xml:space="preserve"> PAGEREF _Toc27257 \h </w:instrText>
      </w:r>
      <w:r>
        <w:fldChar w:fldCharType="separate"/>
      </w:r>
      <w:r>
        <w:t>50</w:t>
      </w:r>
      <w:r>
        <w:fldChar w:fldCharType="end"/>
      </w:r>
      <w:r>
        <w:fldChar w:fldCharType="end"/>
      </w:r>
    </w:p>
    <w:p>
      <w:pPr>
        <w:pStyle w:val="6"/>
        <w:tabs>
          <w:tab w:val="right" w:leader="dot" w:pos="8306"/>
        </w:tabs>
      </w:pPr>
      <w:r>
        <w:fldChar w:fldCharType="begin"/>
      </w:r>
      <w:r>
        <w:instrText xml:space="preserve"> HYPERLINK \l "_Toc10294" </w:instrText>
      </w:r>
      <w:r>
        <w:fldChar w:fldCharType="separate"/>
      </w:r>
      <w:r>
        <w:rPr>
          <w:rFonts w:hint="eastAsia"/>
        </w:rPr>
        <w:t>第一节  提高城乡居民生活质量，推动惠民基础建设</w:t>
      </w:r>
      <w:r>
        <w:tab/>
      </w:r>
      <w:r>
        <w:fldChar w:fldCharType="begin"/>
      </w:r>
      <w:r>
        <w:instrText xml:space="preserve"> PAGEREF _Toc10294 \h </w:instrText>
      </w:r>
      <w:r>
        <w:fldChar w:fldCharType="separate"/>
      </w:r>
      <w:r>
        <w:t>50</w:t>
      </w:r>
      <w:r>
        <w:fldChar w:fldCharType="end"/>
      </w:r>
      <w:r>
        <w:fldChar w:fldCharType="end"/>
      </w:r>
    </w:p>
    <w:p>
      <w:pPr>
        <w:pStyle w:val="6"/>
        <w:tabs>
          <w:tab w:val="right" w:leader="dot" w:pos="8306"/>
        </w:tabs>
      </w:pPr>
      <w:r>
        <w:fldChar w:fldCharType="begin"/>
      </w:r>
      <w:r>
        <w:instrText xml:space="preserve"> HYPERLINK \l "_Toc15763" </w:instrText>
      </w:r>
      <w:r>
        <w:fldChar w:fldCharType="separate"/>
      </w:r>
      <w:r>
        <w:rPr>
          <w:rFonts w:hint="eastAsia"/>
        </w:rPr>
        <w:t>第二节  提高医疗和健康服务技术水平</w:t>
      </w:r>
      <w:r>
        <w:tab/>
      </w:r>
      <w:r>
        <w:fldChar w:fldCharType="begin"/>
      </w:r>
      <w:r>
        <w:instrText xml:space="preserve"> PAGEREF _Toc15763 \h </w:instrText>
      </w:r>
      <w:r>
        <w:fldChar w:fldCharType="separate"/>
      </w:r>
      <w:r>
        <w:t>51</w:t>
      </w:r>
      <w:r>
        <w:fldChar w:fldCharType="end"/>
      </w:r>
      <w:r>
        <w:fldChar w:fldCharType="end"/>
      </w:r>
    </w:p>
    <w:p>
      <w:pPr>
        <w:pStyle w:val="10"/>
        <w:tabs>
          <w:tab w:val="right" w:leader="dot" w:pos="8306"/>
        </w:tabs>
      </w:pPr>
      <w:r>
        <w:fldChar w:fldCharType="begin"/>
      </w:r>
      <w:r>
        <w:instrText xml:space="preserve"> HYPERLINK \l "_Toc943" </w:instrText>
      </w:r>
      <w:r>
        <w:fldChar w:fldCharType="separate"/>
      </w:r>
      <w:r>
        <w:rPr>
          <w:rFonts w:hint="eastAsia"/>
        </w:rPr>
        <w:t>第十三章  提高公共安全科技保障能力</w:t>
      </w:r>
      <w:r>
        <w:tab/>
      </w:r>
      <w:r>
        <w:fldChar w:fldCharType="begin"/>
      </w:r>
      <w:r>
        <w:instrText xml:space="preserve"> PAGEREF _Toc943 \h </w:instrText>
      </w:r>
      <w:r>
        <w:fldChar w:fldCharType="separate"/>
      </w:r>
      <w:r>
        <w:t>52</w:t>
      </w:r>
      <w:r>
        <w:fldChar w:fldCharType="end"/>
      </w:r>
      <w:r>
        <w:fldChar w:fldCharType="end"/>
      </w:r>
    </w:p>
    <w:p>
      <w:pPr>
        <w:pStyle w:val="6"/>
        <w:tabs>
          <w:tab w:val="right" w:leader="dot" w:pos="8306"/>
        </w:tabs>
      </w:pPr>
      <w:r>
        <w:fldChar w:fldCharType="begin"/>
      </w:r>
      <w:r>
        <w:instrText xml:space="preserve"> HYPERLINK \l "_Toc2285" </w:instrText>
      </w:r>
      <w:r>
        <w:fldChar w:fldCharType="separate"/>
      </w:r>
      <w:r>
        <w:rPr>
          <w:rFonts w:hint="eastAsia"/>
        </w:rPr>
        <w:t>第一节  饮用水及食品药品安全技术</w:t>
      </w:r>
      <w:r>
        <w:tab/>
      </w:r>
      <w:r>
        <w:fldChar w:fldCharType="begin"/>
      </w:r>
      <w:r>
        <w:instrText xml:space="preserve"> PAGEREF _Toc2285 \h </w:instrText>
      </w:r>
      <w:r>
        <w:fldChar w:fldCharType="separate"/>
      </w:r>
      <w:r>
        <w:t>52</w:t>
      </w:r>
      <w:r>
        <w:fldChar w:fldCharType="end"/>
      </w:r>
      <w:r>
        <w:fldChar w:fldCharType="end"/>
      </w:r>
    </w:p>
    <w:p>
      <w:pPr>
        <w:pStyle w:val="6"/>
        <w:tabs>
          <w:tab w:val="right" w:leader="dot" w:pos="8306"/>
        </w:tabs>
      </w:pPr>
      <w:r>
        <w:fldChar w:fldCharType="begin"/>
      </w:r>
      <w:r>
        <w:instrText xml:space="preserve"> HYPERLINK \l "_Toc29680" </w:instrText>
      </w:r>
      <w:r>
        <w:fldChar w:fldCharType="separate"/>
      </w:r>
      <w:r>
        <w:rPr>
          <w:rFonts w:hint="eastAsia"/>
        </w:rPr>
        <w:t>第二节  防灾减灾及公共安全关键技术</w:t>
      </w:r>
      <w:r>
        <w:tab/>
      </w:r>
      <w:r>
        <w:fldChar w:fldCharType="begin"/>
      </w:r>
      <w:r>
        <w:instrText xml:space="preserve"> PAGEREF _Toc29680 \h </w:instrText>
      </w:r>
      <w:r>
        <w:fldChar w:fldCharType="separate"/>
      </w:r>
      <w:r>
        <w:t>53</w:t>
      </w:r>
      <w:r>
        <w:fldChar w:fldCharType="end"/>
      </w:r>
      <w:r>
        <w:fldChar w:fldCharType="end"/>
      </w:r>
    </w:p>
    <w:p>
      <w:pPr>
        <w:pStyle w:val="2"/>
        <w:tabs>
          <w:tab w:val="right" w:leader="dot" w:pos="8306"/>
        </w:tabs>
      </w:pPr>
      <w:r>
        <w:fldChar w:fldCharType="begin"/>
      </w:r>
      <w:r>
        <w:instrText xml:space="preserve"> HYPERLINK \l "_Toc32356" </w:instrText>
      </w:r>
      <w:r>
        <w:fldChar w:fldCharType="separate"/>
      </w:r>
      <w:r>
        <w:rPr>
          <w:rFonts w:hint="eastAsia"/>
        </w:rPr>
        <w:t>第七篇  加快发展科技服务业</w:t>
      </w:r>
      <w:r>
        <w:tab/>
      </w:r>
      <w:r>
        <w:fldChar w:fldCharType="begin"/>
      </w:r>
      <w:r>
        <w:instrText xml:space="preserve"> PAGEREF _Toc32356 \h </w:instrText>
      </w:r>
      <w:r>
        <w:fldChar w:fldCharType="separate"/>
      </w:r>
      <w:r>
        <w:t>54</w:t>
      </w:r>
      <w:r>
        <w:fldChar w:fldCharType="end"/>
      </w:r>
      <w:r>
        <w:fldChar w:fldCharType="end"/>
      </w:r>
    </w:p>
    <w:p>
      <w:pPr>
        <w:pStyle w:val="10"/>
        <w:tabs>
          <w:tab w:val="right" w:leader="dot" w:pos="8306"/>
        </w:tabs>
      </w:pPr>
      <w:r>
        <w:fldChar w:fldCharType="begin"/>
      </w:r>
      <w:r>
        <w:instrText xml:space="preserve"> HYPERLINK \l "_Toc2428" </w:instrText>
      </w:r>
      <w:r>
        <w:fldChar w:fldCharType="separate"/>
      </w:r>
      <w:r>
        <w:rPr>
          <w:rFonts w:hint="eastAsia"/>
        </w:rPr>
        <w:t>第十四章  促进科技服务业创新发展</w:t>
      </w:r>
      <w:r>
        <w:tab/>
      </w:r>
      <w:r>
        <w:fldChar w:fldCharType="begin"/>
      </w:r>
      <w:r>
        <w:instrText xml:space="preserve"> PAGEREF _Toc2428 \h </w:instrText>
      </w:r>
      <w:r>
        <w:fldChar w:fldCharType="separate"/>
      </w:r>
      <w:r>
        <w:t>54</w:t>
      </w:r>
      <w:r>
        <w:fldChar w:fldCharType="end"/>
      </w:r>
      <w:r>
        <w:fldChar w:fldCharType="end"/>
      </w:r>
    </w:p>
    <w:p>
      <w:pPr>
        <w:pStyle w:val="6"/>
        <w:tabs>
          <w:tab w:val="right" w:leader="dot" w:pos="8306"/>
        </w:tabs>
      </w:pPr>
      <w:r>
        <w:fldChar w:fldCharType="begin"/>
      </w:r>
      <w:r>
        <w:instrText xml:space="preserve"> HYPERLINK \l "_Toc518" </w:instrText>
      </w:r>
      <w:r>
        <w:fldChar w:fldCharType="separate"/>
      </w:r>
      <w:r>
        <w:rPr>
          <w:rFonts w:hint="eastAsia"/>
        </w:rPr>
        <w:t>第一节  提升传统科技服务</w:t>
      </w:r>
      <w:r>
        <w:tab/>
      </w:r>
      <w:r>
        <w:fldChar w:fldCharType="begin"/>
      </w:r>
      <w:r>
        <w:instrText xml:space="preserve"> PAGEREF _Toc518 \h </w:instrText>
      </w:r>
      <w:r>
        <w:fldChar w:fldCharType="separate"/>
      </w:r>
      <w:r>
        <w:t>54</w:t>
      </w:r>
      <w:r>
        <w:fldChar w:fldCharType="end"/>
      </w:r>
      <w:r>
        <w:fldChar w:fldCharType="end"/>
      </w:r>
    </w:p>
    <w:p>
      <w:pPr>
        <w:pStyle w:val="6"/>
        <w:tabs>
          <w:tab w:val="right" w:leader="dot" w:pos="8306"/>
        </w:tabs>
      </w:pPr>
      <w:r>
        <w:fldChar w:fldCharType="begin"/>
      </w:r>
      <w:r>
        <w:instrText xml:space="preserve"> HYPERLINK \l "_Toc16226" </w:instrText>
      </w:r>
      <w:r>
        <w:fldChar w:fldCharType="separate"/>
      </w:r>
      <w:r>
        <w:rPr>
          <w:rFonts w:hint="eastAsia"/>
        </w:rPr>
        <w:t>第二节  培育科技服务新业态</w:t>
      </w:r>
      <w:r>
        <w:tab/>
      </w:r>
      <w:r>
        <w:fldChar w:fldCharType="begin"/>
      </w:r>
      <w:r>
        <w:instrText xml:space="preserve"> PAGEREF _Toc16226 \h </w:instrText>
      </w:r>
      <w:r>
        <w:fldChar w:fldCharType="separate"/>
      </w:r>
      <w:r>
        <w:t>55</w:t>
      </w:r>
      <w:r>
        <w:fldChar w:fldCharType="end"/>
      </w:r>
      <w:r>
        <w:fldChar w:fldCharType="end"/>
      </w:r>
    </w:p>
    <w:p>
      <w:pPr>
        <w:pStyle w:val="10"/>
        <w:tabs>
          <w:tab w:val="right" w:leader="dot" w:pos="8306"/>
        </w:tabs>
      </w:pPr>
      <w:r>
        <w:fldChar w:fldCharType="begin"/>
      </w:r>
      <w:r>
        <w:instrText xml:space="preserve"> HYPERLINK \l "_Toc29972" </w:instrText>
      </w:r>
      <w:r>
        <w:fldChar w:fldCharType="separate"/>
      </w:r>
      <w:r>
        <w:rPr>
          <w:rFonts w:hint="eastAsia"/>
        </w:rPr>
        <w:t>第十五章  深入开展大众创业万众创新</w:t>
      </w:r>
      <w:r>
        <w:tab/>
      </w:r>
      <w:r>
        <w:fldChar w:fldCharType="begin"/>
      </w:r>
      <w:r>
        <w:instrText xml:space="preserve"> PAGEREF _Toc29972 \h </w:instrText>
      </w:r>
      <w:r>
        <w:fldChar w:fldCharType="separate"/>
      </w:r>
      <w:r>
        <w:t>56</w:t>
      </w:r>
      <w:r>
        <w:fldChar w:fldCharType="end"/>
      </w:r>
      <w:r>
        <w:fldChar w:fldCharType="end"/>
      </w:r>
    </w:p>
    <w:p>
      <w:pPr>
        <w:pStyle w:val="6"/>
        <w:tabs>
          <w:tab w:val="right" w:leader="dot" w:pos="8306"/>
        </w:tabs>
      </w:pPr>
      <w:r>
        <w:fldChar w:fldCharType="begin"/>
      </w:r>
      <w:r>
        <w:instrText xml:space="preserve"> HYPERLINK \l "_Toc8863" </w:instrText>
      </w:r>
      <w:r>
        <w:fldChar w:fldCharType="separate"/>
      </w:r>
      <w:r>
        <w:rPr>
          <w:rFonts w:hint="eastAsia"/>
        </w:rPr>
        <w:t>第一节  培育壮大创新创业载体</w:t>
      </w:r>
      <w:r>
        <w:tab/>
      </w:r>
      <w:r>
        <w:fldChar w:fldCharType="begin"/>
      </w:r>
      <w:r>
        <w:instrText xml:space="preserve"> PAGEREF _Toc8863 \h </w:instrText>
      </w:r>
      <w:r>
        <w:fldChar w:fldCharType="separate"/>
      </w:r>
      <w:r>
        <w:t>56</w:t>
      </w:r>
      <w:r>
        <w:fldChar w:fldCharType="end"/>
      </w:r>
      <w:r>
        <w:fldChar w:fldCharType="end"/>
      </w:r>
    </w:p>
    <w:p>
      <w:pPr>
        <w:pStyle w:val="6"/>
        <w:tabs>
          <w:tab w:val="right" w:leader="dot" w:pos="8306"/>
        </w:tabs>
      </w:pPr>
      <w:r>
        <w:fldChar w:fldCharType="begin"/>
      </w:r>
      <w:r>
        <w:instrText xml:space="preserve"> HYPERLINK \l "_Toc9804" </w:instrText>
      </w:r>
      <w:r>
        <w:fldChar w:fldCharType="separate"/>
      </w:r>
      <w:r>
        <w:rPr>
          <w:rFonts w:hint="eastAsia"/>
        </w:rPr>
        <w:t>第二节  打造双创生态圈</w:t>
      </w:r>
      <w:r>
        <w:tab/>
      </w:r>
      <w:r>
        <w:fldChar w:fldCharType="begin"/>
      </w:r>
      <w:r>
        <w:instrText xml:space="preserve"> PAGEREF _Toc9804 \h </w:instrText>
      </w:r>
      <w:r>
        <w:fldChar w:fldCharType="separate"/>
      </w:r>
      <w:r>
        <w:t>57</w:t>
      </w:r>
      <w:r>
        <w:fldChar w:fldCharType="end"/>
      </w:r>
      <w:r>
        <w:fldChar w:fldCharType="end"/>
      </w:r>
    </w:p>
    <w:p>
      <w:pPr>
        <w:pStyle w:val="2"/>
        <w:tabs>
          <w:tab w:val="right" w:leader="dot" w:pos="8306"/>
        </w:tabs>
      </w:pPr>
      <w:r>
        <w:fldChar w:fldCharType="begin"/>
      </w:r>
      <w:r>
        <w:instrText xml:space="preserve"> HYPERLINK \l "_Toc19911" </w:instrText>
      </w:r>
      <w:r>
        <w:fldChar w:fldCharType="separate"/>
      </w:r>
      <w:r>
        <w:rPr>
          <w:rFonts w:hint="eastAsia"/>
        </w:rPr>
        <w:t>第八篇  深化改革开放，完善政策体系</w:t>
      </w:r>
      <w:r>
        <w:tab/>
      </w:r>
      <w:r>
        <w:fldChar w:fldCharType="begin"/>
      </w:r>
      <w:r>
        <w:instrText xml:space="preserve"> PAGEREF _Toc19911 \h </w:instrText>
      </w:r>
      <w:r>
        <w:fldChar w:fldCharType="separate"/>
      </w:r>
      <w:r>
        <w:t>57</w:t>
      </w:r>
      <w:r>
        <w:fldChar w:fldCharType="end"/>
      </w:r>
      <w:r>
        <w:fldChar w:fldCharType="end"/>
      </w:r>
    </w:p>
    <w:p>
      <w:pPr>
        <w:pStyle w:val="10"/>
        <w:tabs>
          <w:tab w:val="right" w:leader="dot" w:pos="8306"/>
        </w:tabs>
      </w:pPr>
      <w:r>
        <w:fldChar w:fldCharType="begin"/>
      </w:r>
      <w:r>
        <w:instrText xml:space="preserve"> HYPERLINK \l "_Toc31104" </w:instrText>
      </w:r>
      <w:r>
        <w:fldChar w:fldCharType="separate"/>
      </w:r>
      <w:r>
        <w:rPr>
          <w:rFonts w:hint="eastAsia"/>
        </w:rPr>
        <w:t>第十六章  稳妥推进科技体制机制改革</w:t>
      </w:r>
      <w:r>
        <w:tab/>
      </w:r>
      <w:r>
        <w:fldChar w:fldCharType="begin"/>
      </w:r>
      <w:r>
        <w:instrText xml:space="preserve"> PAGEREF _Toc31104 \h </w:instrText>
      </w:r>
      <w:r>
        <w:fldChar w:fldCharType="separate"/>
      </w:r>
      <w:r>
        <w:t>57</w:t>
      </w:r>
      <w:r>
        <w:fldChar w:fldCharType="end"/>
      </w:r>
      <w:r>
        <w:fldChar w:fldCharType="end"/>
      </w:r>
    </w:p>
    <w:p>
      <w:pPr>
        <w:pStyle w:val="6"/>
        <w:tabs>
          <w:tab w:val="right" w:leader="dot" w:pos="8306"/>
        </w:tabs>
      </w:pPr>
      <w:r>
        <w:fldChar w:fldCharType="begin"/>
      </w:r>
      <w:r>
        <w:instrText xml:space="preserve"> HYPERLINK \l "_Toc8907" </w:instrText>
      </w:r>
      <w:r>
        <w:fldChar w:fldCharType="separate"/>
      </w:r>
      <w:r>
        <w:rPr>
          <w:rFonts w:hint="eastAsia"/>
        </w:rPr>
        <w:t>第一节  创新科技计划组织与管理</w:t>
      </w:r>
      <w:r>
        <w:tab/>
      </w:r>
      <w:r>
        <w:fldChar w:fldCharType="begin"/>
      </w:r>
      <w:r>
        <w:instrText xml:space="preserve"> PAGEREF _Toc8907 \h </w:instrText>
      </w:r>
      <w:r>
        <w:fldChar w:fldCharType="separate"/>
      </w:r>
      <w:r>
        <w:t>57</w:t>
      </w:r>
      <w:r>
        <w:fldChar w:fldCharType="end"/>
      </w:r>
      <w:r>
        <w:fldChar w:fldCharType="end"/>
      </w:r>
    </w:p>
    <w:p>
      <w:pPr>
        <w:pStyle w:val="6"/>
        <w:tabs>
          <w:tab w:val="right" w:leader="dot" w:pos="8306"/>
        </w:tabs>
      </w:pPr>
      <w:r>
        <w:fldChar w:fldCharType="begin"/>
      </w:r>
      <w:r>
        <w:instrText xml:space="preserve"> HYPERLINK \l "_Toc10419" </w:instrText>
      </w:r>
      <w:r>
        <w:fldChar w:fldCharType="separate"/>
      </w:r>
      <w:r>
        <w:rPr>
          <w:rFonts w:hint="eastAsia"/>
        </w:rPr>
        <w:t>第二节  深化科研机构改革</w:t>
      </w:r>
      <w:r>
        <w:tab/>
      </w:r>
      <w:r>
        <w:fldChar w:fldCharType="begin"/>
      </w:r>
      <w:r>
        <w:instrText xml:space="preserve"> PAGEREF _Toc10419 \h </w:instrText>
      </w:r>
      <w:r>
        <w:fldChar w:fldCharType="separate"/>
      </w:r>
      <w:r>
        <w:t>58</w:t>
      </w:r>
      <w:r>
        <w:fldChar w:fldCharType="end"/>
      </w:r>
      <w:r>
        <w:fldChar w:fldCharType="end"/>
      </w:r>
    </w:p>
    <w:p>
      <w:pPr>
        <w:pStyle w:val="6"/>
        <w:tabs>
          <w:tab w:val="right" w:leader="dot" w:pos="8306"/>
        </w:tabs>
      </w:pPr>
      <w:r>
        <w:fldChar w:fldCharType="begin"/>
      </w:r>
      <w:r>
        <w:instrText xml:space="preserve"> HYPERLINK \l "_Toc15380" </w:instrText>
      </w:r>
      <w:r>
        <w:fldChar w:fldCharType="separate"/>
      </w:r>
      <w:r>
        <w:rPr>
          <w:rFonts w:hint="eastAsia"/>
        </w:rPr>
        <w:t>第三节  改进科技成果转移转化</w:t>
      </w:r>
      <w:r>
        <w:tab/>
      </w:r>
      <w:r>
        <w:fldChar w:fldCharType="begin"/>
      </w:r>
      <w:r>
        <w:instrText xml:space="preserve"> PAGEREF _Toc15380 \h </w:instrText>
      </w:r>
      <w:r>
        <w:fldChar w:fldCharType="separate"/>
      </w:r>
      <w:r>
        <w:t>59</w:t>
      </w:r>
      <w:r>
        <w:fldChar w:fldCharType="end"/>
      </w:r>
      <w:r>
        <w:fldChar w:fldCharType="end"/>
      </w:r>
    </w:p>
    <w:p>
      <w:pPr>
        <w:pStyle w:val="10"/>
        <w:tabs>
          <w:tab w:val="right" w:leader="dot" w:pos="8306"/>
        </w:tabs>
      </w:pPr>
      <w:r>
        <w:fldChar w:fldCharType="begin"/>
      </w:r>
      <w:r>
        <w:instrText xml:space="preserve"> HYPERLINK \l "_Toc21335" </w:instrText>
      </w:r>
      <w:r>
        <w:fldChar w:fldCharType="separate"/>
      </w:r>
      <w:r>
        <w:rPr>
          <w:rFonts w:hint="eastAsia"/>
        </w:rPr>
        <w:t>第十七章  完善创新人才发展机制</w:t>
      </w:r>
      <w:r>
        <w:tab/>
      </w:r>
      <w:r>
        <w:fldChar w:fldCharType="begin"/>
      </w:r>
      <w:r>
        <w:instrText xml:space="preserve"> PAGEREF _Toc21335 \h </w:instrText>
      </w:r>
      <w:r>
        <w:fldChar w:fldCharType="separate"/>
      </w:r>
      <w:r>
        <w:t>59</w:t>
      </w:r>
      <w:r>
        <w:fldChar w:fldCharType="end"/>
      </w:r>
      <w:r>
        <w:fldChar w:fldCharType="end"/>
      </w:r>
    </w:p>
    <w:p>
      <w:pPr>
        <w:pStyle w:val="6"/>
        <w:tabs>
          <w:tab w:val="right" w:leader="dot" w:pos="8306"/>
        </w:tabs>
      </w:pPr>
      <w:r>
        <w:fldChar w:fldCharType="begin"/>
      </w:r>
      <w:r>
        <w:instrText xml:space="preserve"> HYPERLINK \l "_Toc5962" </w:instrText>
      </w:r>
      <w:r>
        <w:fldChar w:fldCharType="separate"/>
      </w:r>
      <w:r>
        <w:rPr>
          <w:rFonts w:hint="eastAsia"/>
        </w:rPr>
        <w:t>第一节  激发科技人才创新活力</w:t>
      </w:r>
      <w:r>
        <w:tab/>
      </w:r>
      <w:r>
        <w:fldChar w:fldCharType="begin"/>
      </w:r>
      <w:r>
        <w:instrText xml:space="preserve"> PAGEREF _Toc5962 \h </w:instrText>
      </w:r>
      <w:r>
        <w:fldChar w:fldCharType="separate"/>
      </w:r>
      <w:r>
        <w:t>59</w:t>
      </w:r>
      <w:r>
        <w:fldChar w:fldCharType="end"/>
      </w:r>
      <w:r>
        <w:fldChar w:fldCharType="end"/>
      </w:r>
    </w:p>
    <w:p>
      <w:pPr>
        <w:pStyle w:val="6"/>
        <w:tabs>
          <w:tab w:val="right" w:leader="dot" w:pos="8306"/>
        </w:tabs>
      </w:pPr>
      <w:r>
        <w:fldChar w:fldCharType="begin"/>
      </w:r>
      <w:r>
        <w:instrText xml:space="preserve"> HYPERLINK \l "_Toc29804" </w:instrText>
      </w:r>
      <w:r>
        <w:fldChar w:fldCharType="separate"/>
      </w:r>
      <w:r>
        <w:rPr>
          <w:rFonts w:hint="eastAsia"/>
        </w:rPr>
        <w:t>第二节  强化创新人才培养机制</w:t>
      </w:r>
      <w:r>
        <w:tab/>
      </w:r>
      <w:r>
        <w:fldChar w:fldCharType="begin"/>
      </w:r>
      <w:r>
        <w:instrText xml:space="preserve"> PAGEREF _Toc29804 \h </w:instrText>
      </w:r>
      <w:r>
        <w:fldChar w:fldCharType="separate"/>
      </w:r>
      <w:r>
        <w:t>60</w:t>
      </w:r>
      <w:r>
        <w:fldChar w:fldCharType="end"/>
      </w:r>
      <w:r>
        <w:fldChar w:fldCharType="end"/>
      </w:r>
    </w:p>
    <w:p>
      <w:pPr>
        <w:pStyle w:val="10"/>
        <w:tabs>
          <w:tab w:val="right" w:leader="dot" w:pos="8306"/>
        </w:tabs>
      </w:pPr>
      <w:r>
        <w:fldChar w:fldCharType="begin"/>
      </w:r>
      <w:r>
        <w:instrText xml:space="preserve"> HYPERLINK \l "_Toc20352" </w:instrText>
      </w:r>
      <w:r>
        <w:fldChar w:fldCharType="separate"/>
      </w:r>
      <w:r>
        <w:rPr>
          <w:rFonts w:hint="eastAsia"/>
        </w:rPr>
        <w:t>第十八章  推动国内外科技合作跃上新高度</w:t>
      </w:r>
      <w:r>
        <w:tab/>
      </w:r>
      <w:r>
        <w:fldChar w:fldCharType="begin"/>
      </w:r>
      <w:r>
        <w:instrText xml:space="preserve"> PAGEREF _Toc20352 \h </w:instrText>
      </w:r>
      <w:r>
        <w:fldChar w:fldCharType="separate"/>
      </w:r>
      <w:r>
        <w:t>60</w:t>
      </w:r>
      <w:r>
        <w:fldChar w:fldCharType="end"/>
      </w:r>
      <w:r>
        <w:fldChar w:fldCharType="end"/>
      </w:r>
    </w:p>
    <w:p>
      <w:pPr>
        <w:pStyle w:val="6"/>
        <w:tabs>
          <w:tab w:val="right" w:leader="dot" w:pos="8306"/>
        </w:tabs>
      </w:pPr>
      <w:r>
        <w:fldChar w:fldCharType="begin"/>
      </w:r>
      <w:r>
        <w:instrText xml:space="preserve"> HYPERLINK \l "_Toc24198" </w:instrText>
      </w:r>
      <w:r>
        <w:fldChar w:fldCharType="separate"/>
      </w:r>
      <w:r>
        <w:rPr>
          <w:rFonts w:hint="eastAsia"/>
        </w:rPr>
        <w:t>第一节  以科技项目为牵引，开放合作搞创新</w:t>
      </w:r>
      <w:r>
        <w:tab/>
      </w:r>
      <w:r>
        <w:fldChar w:fldCharType="begin"/>
      </w:r>
      <w:r>
        <w:instrText xml:space="preserve"> PAGEREF _Toc24198 \h </w:instrText>
      </w:r>
      <w:r>
        <w:fldChar w:fldCharType="separate"/>
      </w:r>
      <w:r>
        <w:t>60</w:t>
      </w:r>
      <w:r>
        <w:fldChar w:fldCharType="end"/>
      </w:r>
      <w:r>
        <w:fldChar w:fldCharType="end"/>
      </w:r>
    </w:p>
    <w:p>
      <w:pPr>
        <w:pStyle w:val="6"/>
        <w:tabs>
          <w:tab w:val="right" w:leader="dot" w:pos="8306"/>
        </w:tabs>
      </w:pPr>
      <w:r>
        <w:fldChar w:fldCharType="begin"/>
      </w:r>
      <w:r>
        <w:instrText xml:space="preserve"> HYPERLINK \l "_Toc10656" </w:instrText>
      </w:r>
      <w:r>
        <w:fldChar w:fldCharType="separate"/>
      </w:r>
      <w:r>
        <w:rPr>
          <w:rFonts w:hint="eastAsia"/>
        </w:rPr>
        <w:t>第二节  多方位发展国内外科技合作</w:t>
      </w:r>
      <w:r>
        <w:tab/>
      </w:r>
      <w:r>
        <w:fldChar w:fldCharType="begin"/>
      </w:r>
      <w:r>
        <w:instrText xml:space="preserve"> PAGEREF _Toc10656 \h </w:instrText>
      </w:r>
      <w:r>
        <w:fldChar w:fldCharType="separate"/>
      </w:r>
      <w:r>
        <w:t>61</w:t>
      </w:r>
      <w:r>
        <w:fldChar w:fldCharType="end"/>
      </w:r>
      <w:r>
        <w:fldChar w:fldCharType="end"/>
      </w:r>
    </w:p>
    <w:p>
      <w:pPr>
        <w:pStyle w:val="10"/>
        <w:tabs>
          <w:tab w:val="right" w:leader="dot" w:pos="8306"/>
        </w:tabs>
      </w:pPr>
      <w:r>
        <w:fldChar w:fldCharType="begin"/>
      </w:r>
      <w:r>
        <w:instrText xml:space="preserve"> HYPERLINK \l "_Toc5377" </w:instrText>
      </w:r>
      <w:r>
        <w:fldChar w:fldCharType="separate"/>
      </w:r>
      <w:r>
        <w:rPr>
          <w:rFonts w:hint="eastAsia"/>
        </w:rPr>
        <w:t>第十九章  加强政策配套，营造良好环境</w:t>
      </w:r>
      <w:r>
        <w:tab/>
      </w:r>
      <w:r>
        <w:fldChar w:fldCharType="begin"/>
      </w:r>
      <w:r>
        <w:instrText xml:space="preserve"> PAGEREF _Toc5377 \h </w:instrText>
      </w:r>
      <w:r>
        <w:fldChar w:fldCharType="separate"/>
      </w:r>
      <w:r>
        <w:t>62</w:t>
      </w:r>
      <w:r>
        <w:fldChar w:fldCharType="end"/>
      </w:r>
      <w:r>
        <w:fldChar w:fldCharType="end"/>
      </w:r>
    </w:p>
    <w:p>
      <w:pPr>
        <w:pStyle w:val="6"/>
        <w:tabs>
          <w:tab w:val="right" w:leader="dot" w:pos="8306"/>
        </w:tabs>
      </w:pPr>
      <w:r>
        <w:fldChar w:fldCharType="begin"/>
      </w:r>
      <w:r>
        <w:instrText xml:space="preserve"> HYPERLINK \l "_Toc3396" </w:instrText>
      </w:r>
      <w:r>
        <w:fldChar w:fldCharType="separate"/>
      </w:r>
      <w:r>
        <w:rPr>
          <w:rFonts w:hint="eastAsia"/>
        </w:rPr>
        <w:t>第一节  建立科技投入稳定增长机制</w:t>
      </w:r>
      <w:r>
        <w:tab/>
      </w:r>
      <w:r>
        <w:fldChar w:fldCharType="begin"/>
      </w:r>
      <w:r>
        <w:instrText xml:space="preserve"> PAGEREF _Toc3396 \h </w:instrText>
      </w:r>
      <w:r>
        <w:fldChar w:fldCharType="separate"/>
      </w:r>
      <w:r>
        <w:t>62</w:t>
      </w:r>
      <w:r>
        <w:fldChar w:fldCharType="end"/>
      </w:r>
      <w:r>
        <w:fldChar w:fldCharType="end"/>
      </w:r>
    </w:p>
    <w:p>
      <w:pPr>
        <w:pStyle w:val="6"/>
        <w:tabs>
          <w:tab w:val="right" w:leader="dot" w:pos="8306"/>
        </w:tabs>
      </w:pPr>
      <w:r>
        <w:fldChar w:fldCharType="begin"/>
      </w:r>
      <w:r>
        <w:instrText xml:space="preserve"> HYPERLINK \l "_Toc21492" </w:instrText>
      </w:r>
      <w:r>
        <w:fldChar w:fldCharType="separate"/>
      </w:r>
      <w:r>
        <w:rPr>
          <w:rFonts w:hint="eastAsia"/>
        </w:rPr>
        <w:t>第二节  完善普惠性创新政策体系</w:t>
      </w:r>
      <w:r>
        <w:tab/>
      </w:r>
      <w:r>
        <w:fldChar w:fldCharType="begin"/>
      </w:r>
      <w:r>
        <w:instrText xml:space="preserve"> PAGEREF _Toc21492 \h </w:instrText>
      </w:r>
      <w:r>
        <w:fldChar w:fldCharType="separate"/>
      </w:r>
      <w:r>
        <w:t>63</w:t>
      </w:r>
      <w:r>
        <w:fldChar w:fldCharType="end"/>
      </w:r>
      <w:r>
        <w:fldChar w:fldCharType="end"/>
      </w:r>
    </w:p>
    <w:p>
      <w:pPr>
        <w:pStyle w:val="6"/>
        <w:tabs>
          <w:tab w:val="right" w:leader="dot" w:pos="8306"/>
        </w:tabs>
      </w:pPr>
      <w:r>
        <w:fldChar w:fldCharType="begin"/>
      </w:r>
      <w:r>
        <w:instrText xml:space="preserve"> HYPERLINK \l "_Toc5483" </w:instrText>
      </w:r>
      <w:r>
        <w:fldChar w:fldCharType="separate"/>
      </w:r>
      <w:r>
        <w:rPr>
          <w:rFonts w:hint="eastAsia"/>
        </w:rPr>
        <w:t>第三节  加强科普和创新文化建设</w:t>
      </w:r>
      <w:r>
        <w:tab/>
      </w:r>
      <w:r>
        <w:fldChar w:fldCharType="begin"/>
      </w:r>
      <w:r>
        <w:instrText xml:space="preserve"> PAGEREF _Toc5483 \h </w:instrText>
      </w:r>
      <w:r>
        <w:fldChar w:fldCharType="separate"/>
      </w:r>
      <w:r>
        <w:t>64</w:t>
      </w:r>
      <w:r>
        <w:fldChar w:fldCharType="end"/>
      </w:r>
      <w:r>
        <w:fldChar w:fldCharType="end"/>
      </w:r>
    </w:p>
    <w:p>
      <w:pPr>
        <w:pStyle w:val="2"/>
        <w:tabs>
          <w:tab w:val="right" w:leader="dot" w:pos="8306"/>
        </w:tabs>
      </w:pPr>
      <w:r>
        <w:fldChar w:fldCharType="begin"/>
      </w:r>
      <w:r>
        <w:instrText xml:space="preserve"> HYPERLINK \l "_Toc25761" </w:instrText>
      </w:r>
      <w:r>
        <w:fldChar w:fldCharType="separate"/>
      </w:r>
      <w:r>
        <w:rPr>
          <w:rFonts w:hint="eastAsia"/>
        </w:rPr>
        <w:t>第九篇  抓好规划组织实施和监测评估</w:t>
      </w:r>
      <w:r>
        <w:tab/>
      </w:r>
      <w:r>
        <w:fldChar w:fldCharType="begin"/>
      </w:r>
      <w:r>
        <w:instrText xml:space="preserve"> PAGEREF _Toc25761 \h </w:instrText>
      </w:r>
      <w:r>
        <w:fldChar w:fldCharType="separate"/>
      </w:r>
      <w:r>
        <w:t>64</w:t>
      </w:r>
      <w:r>
        <w:fldChar w:fldCharType="end"/>
      </w:r>
      <w:r>
        <w:fldChar w:fldCharType="end"/>
      </w:r>
    </w:p>
    <w:p>
      <w:pPr>
        <w:pStyle w:val="10"/>
        <w:tabs>
          <w:tab w:val="right" w:leader="dot" w:pos="8306"/>
        </w:tabs>
      </w:pPr>
      <w:r>
        <w:fldChar w:fldCharType="begin"/>
      </w:r>
      <w:r>
        <w:instrText xml:space="preserve"> HYPERLINK \l "_Toc32671" </w:instrText>
      </w:r>
      <w:r>
        <w:fldChar w:fldCharType="separate"/>
      </w:r>
      <w:r>
        <w:rPr>
          <w:rFonts w:hint="eastAsia"/>
        </w:rPr>
        <w:t>第二十章  加强组织领导 保障规划实施</w:t>
      </w:r>
      <w:r>
        <w:tab/>
      </w:r>
      <w:r>
        <w:fldChar w:fldCharType="begin"/>
      </w:r>
      <w:r>
        <w:instrText xml:space="preserve"> PAGEREF _Toc32671 \h </w:instrText>
      </w:r>
      <w:r>
        <w:fldChar w:fldCharType="separate"/>
      </w:r>
      <w:r>
        <w:t>64</w:t>
      </w:r>
      <w:r>
        <w:fldChar w:fldCharType="end"/>
      </w:r>
      <w:r>
        <w:fldChar w:fldCharType="end"/>
      </w:r>
    </w:p>
    <w:p>
      <w:pPr>
        <w:widowControl/>
        <w:spacing w:line="360" w:lineRule="auto"/>
        <w:jc w:val="center"/>
        <w:rPr>
          <w:rFonts w:ascii="华文中宋" w:hAnsi="华文中宋" w:eastAsia="华文中宋"/>
          <w:sz w:val="36"/>
          <w:szCs w:val="36"/>
        </w:rPr>
        <w:sectPr>
          <w:footerReference r:id="rId3" w:type="default"/>
          <w:pgSz w:w="11906" w:h="16838"/>
          <w:pgMar w:top="1440" w:right="1800" w:bottom="1440" w:left="1800" w:header="851" w:footer="992" w:gutter="0"/>
          <w:pgNumType w:fmt="upperRoman" w:start="1"/>
          <w:cols w:space="425" w:num="1"/>
          <w:docGrid w:type="lines" w:linePitch="312" w:charSpace="0"/>
        </w:sectPr>
      </w:pPr>
      <w:r>
        <w:rPr>
          <w:rFonts w:ascii="华文中宋" w:hAnsi="华文中宋" w:eastAsia="华文中宋"/>
          <w:sz w:val="24"/>
          <w:szCs w:val="24"/>
        </w:rPr>
        <w:fldChar w:fldCharType="end"/>
      </w:r>
      <w:r>
        <w:rPr>
          <w:rFonts w:ascii="华文中宋" w:hAnsi="华文中宋" w:eastAsia="华文中宋"/>
          <w:sz w:val="36"/>
          <w:szCs w:val="36"/>
        </w:rPr>
        <w:br w:type="page"/>
      </w:r>
    </w:p>
    <w:p>
      <w:pPr>
        <w:widowControl/>
        <w:spacing w:line="520" w:lineRule="exact"/>
        <w:jc w:val="center"/>
        <w:rPr>
          <w:rFonts w:asciiTheme="minorEastAsia" w:hAnsiTheme="minorEastAsia" w:cstheme="minorEastAsia"/>
          <w:sz w:val="36"/>
          <w:szCs w:val="36"/>
        </w:rPr>
      </w:pPr>
    </w:p>
    <w:p>
      <w:pPr>
        <w:spacing w:line="52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巴彦淖尔市“十四五”科技创新规划</w:t>
      </w:r>
    </w:p>
    <w:p>
      <w:pPr>
        <w:spacing w:line="520" w:lineRule="exact"/>
        <w:jc w:val="center"/>
        <w:rPr>
          <w:rFonts w:asciiTheme="minorEastAsia" w:hAnsiTheme="minorEastAsia" w:cstheme="minorEastAsia"/>
          <w:sz w:val="28"/>
          <w:szCs w:val="28"/>
        </w:rPr>
      </w:pP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十四五”时期是我国全面建成小康社会，乘势而上开启全面建设社会主义现代化国家新征程的第一个五年。站在新的历史起点上，巴彦淖尔市的科技创新迎来前所未有的发展机遇，也将面临新的任务和挑战。必须认真贯彻落实党中央和自治区党委关于科技创新的决策部署，按照中共巴彦淖尔市委《关于制定巴彦淖尔市国民经济和社会发展第十四个五年规划和二〇三五年远景目标的建议》确定的目标任务和《巴彦淖尔市国民经济和社会发展第十四个五年规划和2035年远景远景目标纲要》内容，结合《内蒙古自治区“十四五”科技创新规划》，系统谋划、科学编制我市“十四五”科技创新规划，明确未来五年我市科技创新发展思路，目标任务和主要举措，是指导全市科技创新的行动指南。</w:t>
      </w:r>
    </w:p>
    <w:p>
      <w:pPr>
        <w:pStyle w:val="3"/>
        <w:spacing w:before="156" w:after="156" w:line="520" w:lineRule="exact"/>
        <w:ind w:firstLine="560"/>
        <w:rPr>
          <w:rFonts w:asciiTheme="minorEastAsia" w:hAnsiTheme="minorEastAsia" w:eastAsiaTheme="minorEastAsia" w:cstheme="minorEastAsia"/>
        </w:rPr>
      </w:pPr>
      <w:bookmarkStart w:id="0" w:name="_Toc83540923"/>
      <w:bookmarkStart w:id="1" w:name="_Toc10659"/>
    </w:p>
    <w:p>
      <w:pPr>
        <w:spacing w:line="520" w:lineRule="exact"/>
        <w:rPr>
          <w:rFonts w:asciiTheme="minorEastAsia" w:hAnsiTheme="minorEastAsia" w:cstheme="minorEastAsia"/>
        </w:rPr>
      </w:pPr>
    </w:p>
    <w:p>
      <w:pPr>
        <w:spacing w:line="520" w:lineRule="exact"/>
        <w:rPr>
          <w:rFonts w:asciiTheme="minorEastAsia" w:hAnsiTheme="minorEastAsia" w:cstheme="minorEastAsia"/>
        </w:rPr>
      </w:pPr>
    </w:p>
    <w:p>
      <w:pPr>
        <w:spacing w:line="520" w:lineRule="exact"/>
        <w:rPr>
          <w:rFonts w:asciiTheme="minorEastAsia" w:hAnsiTheme="minorEastAsia" w:cstheme="minorEastAsia"/>
        </w:rPr>
      </w:pPr>
    </w:p>
    <w:p>
      <w:pPr>
        <w:spacing w:line="520" w:lineRule="exact"/>
        <w:rPr>
          <w:rFonts w:asciiTheme="minorEastAsia" w:hAnsiTheme="minorEastAsia" w:cstheme="minorEastAsia"/>
        </w:rPr>
      </w:pPr>
    </w:p>
    <w:p>
      <w:pPr>
        <w:spacing w:line="520" w:lineRule="exact"/>
        <w:rPr>
          <w:rFonts w:asciiTheme="minorEastAsia" w:hAnsiTheme="minorEastAsia" w:cstheme="minorEastAsia"/>
        </w:rPr>
      </w:pPr>
    </w:p>
    <w:p>
      <w:pPr>
        <w:spacing w:line="520" w:lineRule="exact"/>
        <w:rPr>
          <w:rFonts w:asciiTheme="minorEastAsia" w:hAnsiTheme="minorEastAsia" w:cstheme="minorEastAsia"/>
        </w:rPr>
      </w:pPr>
    </w:p>
    <w:p>
      <w:pPr>
        <w:spacing w:line="520" w:lineRule="exact"/>
        <w:rPr>
          <w:rFonts w:asciiTheme="minorEastAsia" w:hAnsiTheme="minorEastAsia" w:cstheme="minorEastAsia"/>
        </w:rPr>
      </w:pPr>
    </w:p>
    <w:p>
      <w:pPr>
        <w:spacing w:line="520" w:lineRule="exact"/>
        <w:rPr>
          <w:rFonts w:asciiTheme="minorEastAsia" w:hAnsiTheme="minorEastAsia" w:cstheme="minorEastAsia"/>
        </w:rPr>
      </w:pPr>
    </w:p>
    <w:p>
      <w:pPr>
        <w:pStyle w:val="3"/>
        <w:spacing w:before="156" w:after="156" w:line="520" w:lineRule="exact"/>
        <w:ind w:firstLine="0" w:firstLineChars="0"/>
        <w:jc w:val="both"/>
        <w:rPr>
          <w:rFonts w:ascii="黑体" w:hAnsi="黑体" w:cs="黑体"/>
          <w:sz w:val="36"/>
          <w:szCs w:val="36"/>
        </w:rPr>
      </w:pPr>
    </w:p>
    <w:p>
      <w:pPr>
        <w:pStyle w:val="3"/>
        <w:spacing w:before="156" w:after="156" w:line="520" w:lineRule="exact"/>
        <w:ind w:firstLine="0" w:firstLineChars="0"/>
        <w:jc w:val="center"/>
      </w:pPr>
      <w:r>
        <w:rPr>
          <w:rFonts w:hint="eastAsia" w:ascii="黑体" w:hAnsi="黑体" w:cs="黑体"/>
          <w:sz w:val="36"/>
          <w:szCs w:val="36"/>
        </w:rPr>
        <w:t>第一篇  践行高质量发展绘制科技创新蓝图</w:t>
      </w:r>
      <w:bookmarkEnd w:id="0"/>
      <w:bookmarkEnd w:id="1"/>
    </w:p>
    <w:p>
      <w:pPr>
        <w:pStyle w:val="4"/>
        <w:spacing w:after="156" w:line="400" w:lineRule="exact"/>
        <w:ind w:firstLine="0" w:firstLineChars="0"/>
        <w:jc w:val="center"/>
        <w:rPr>
          <w:rFonts w:ascii="黑体" w:hAnsi="黑体" w:eastAsia="黑体" w:cs="黑体"/>
          <w:b w:val="0"/>
          <w:bCs w:val="0"/>
          <w:sz w:val="32"/>
        </w:rPr>
      </w:pPr>
      <w:bookmarkStart w:id="2" w:name="_Toc83540924"/>
      <w:bookmarkStart w:id="3" w:name="_Toc28635"/>
    </w:p>
    <w:p>
      <w:pPr>
        <w:pStyle w:val="4"/>
        <w:spacing w:after="156" w:line="520" w:lineRule="exact"/>
        <w:ind w:firstLine="0" w:firstLineChars="0"/>
        <w:jc w:val="center"/>
        <w:rPr>
          <w:rFonts w:ascii="黑体" w:hAnsi="黑体" w:eastAsia="黑体" w:cs="黑体"/>
          <w:b w:val="0"/>
          <w:bCs w:val="0"/>
          <w:sz w:val="32"/>
        </w:rPr>
      </w:pPr>
      <w:r>
        <w:rPr>
          <w:rFonts w:hint="eastAsia" w:ascii="黑体" w:hAnsi="黑体" w:eastAsia="黑体" w:cs="黑体"/>
          <w:b w:val="0"/>
          <w:bCs w:val="0"/>
          <w:sz w:val="32"/>
        </w:rPr>
        <w:t>第一章  把握科技发展新态势</w:t>
      </w:r>
      <w:bookmarkEnd w:id="2"/>
      <w:bookmarkEnd w:id="3"/>
    </w:p>
    <w:p>
      <w:pPr>
        <w:spacing w:line="520" w:lineRule="exact"/>
        <w:ind w:firstLine="600" w:firstLineChars="200"/>
        <w:rPr>
          <w:rFonts w:ascii="黑体" w:hAnsi="黑体" w:eastAsia="黑体" w:cs="黑体"/>
          <w:sz w:val="30"/>
          <w:szCs w:val="30"/>
        </w:rPr>
      </w:pPr>
      <w:bookmarkStart w:id="4" w:name="_Toc27096"/>
      <w:bookmarkStart w:id="5" w:name="_Toc83540925"/>
    </w:p>
    <w:p>
      <w:pPr>
        <w:spacing w:line="520" w:lineRule="exact"/>
        <w:ind w:firstLine="600" w:firstLineChars="200"/>
        <w:rPr>
          <w:rFonts w:asciiTheme="minorEastAsia" w:hAnsiTheme="minorEastAsia" w:cstheme="minorEastAsia"/>
          <w:sz w:val="28"/>
          <w:szCs w:val="28"/>
        </w:rPr>
      </w:pPr>
      <w:r>
        <w:rPr>
          <w:rFonts w:hint="eastAsia" w:ascii="黑体" w:hAnsi="黑体" w:eastAsia="黑体" w:cs="黑体"/>
          <w:sz w:val="30"/>
          <w:szCs w:val="30"/>
        </w:rPr>
        <w:t>第一节  “十三五”主要成就</w:t>
      </w:r>
      <w:bookmarkEnd w:id="4"/>
      <w:bookmarkEnd w:id="5"/>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十三五”时期，我市深入实施创新驱动发展战略，加快创新型城市建设步伐。在国家、自治区重大科技项目引领带动下，攻克一批关键核心技术，取得一批自主创新成果，建设和完善一批创新平台载体，引进培养一批创新人才和团队，积极营造大众创业、万众创新的发展环境，科技创新支撑经济高质量发展的能力显著增强。</w:t>
      </w:r>
    </w:p>
    <w:p>
      <w:pPr>
        <w:spacing w:line="520" w:lineRule="exact"/>
        <w:ind w:firstLine="562" w:firstLineChars="200"/>
        <w:rPr>
          <w:rFonts w:asciiTheme="minorEastAsia" w:hAnsiTheme="minorEastAsia" w:cstheme="minorEastAsia"/>
          <w:spacing w:val="-6"/>
          <w:sz w:val="28"/>
          <w:szCs w:val="28"/>
        </w:rPr>
      </w:pPr>
      <w:r>
        <w:rPr>
          <w:rFonts w:hint="eastAsia" w:asciiTheme="minorEastAsia" w:hAnsiTheme="minorEastAsia" w:cstheme="minorEastAsia"/>
          <w:b/>
          <w:bCs/>
          <w:sz w:val="28"/>
          <w:szCs w:val="28"/>
        </w:rPr>
        <w:t>综合科技实力稳步增强</w:t>
      </w:r>
      <w:r>
        <w:rPr>
          <w:rFonts w:hint="eastAsia" w:asciiTheme="minorEastAsia" w:hAnsiTheme="minorEastAsia" w:cstheme="minorEastAsia"/>
          <w:sz w:val="28"/>
          <w:szCs w:val="28"/>
        </w:rPr>
        <w:t>。2020年全社会研究与试验发展（R&amp;D）经费占地区生产总值（GDP）比重达到0.51%，跻身全区中等行列。政府科技资金保持增长，5年间市本级科技创新</w:t>
      </w:r>
      <w:r>
        <w:rPr>
          <w:rFonts w:hint="eastAsia" w:asciiTheme="minorEastAsia" w:hAnsiTheme="minorEastAsia" w:cstheme="minorEastAsia"/>
          <w:sz w:val="28"/>
          <w:szCs w:val="28"/>
          <w:lang w:eastAsia="zh-CN"/>
        </w:rPr>
        <w:t>资金</w:t>
      </w:r>
      <w:r>
        <w:rPr>
          <w:rFonts w:hint="eastAsia" w:asciiTheme="minorEastAsia" w:hAnsiTheme="minorEastAsia" w:cstheme="minorEastAsia"/>
          <w:sz w:val="28"/>
          <w:szCs w:val="28"/>
        </w:rPr>
        <w:t>达到3830万元，较“十二五”增长53.2%。实施中央引导地方科技发展专项等国家科技项目11项，获批资金775万元；实施自治区科技重大专项7项（含“科技兴蒙”重点专项1项），获批</w:t>
      </w:r>
      <w:r>
        <w:rPr>
          <w:rFonts w:hint="eastAsia" w:asciiTheme="minorEastAsia" w:hAnsiTheme="minorEastAsia" w:cstheme="minorEastAsia"/>
          <w:spacing w:val="-6"/>
          <w:sz w:val="28"/>
          <w:szCs w:val="28"/>
        </w:rPr>
        <w:t>资金8100万元；实施自治区应用技术研究与开发项目244项，获批资金9566.9万元。全市大中型企业重点项目科技投入持续加大，企业R&amp;D经费占全社会R&amp;D经费总量比例稳定在87%以上，有效改善了重大攻关和研发所需的关键装备条件。</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创新体系建设取得新进展。</w:t>
      </w:r>
      <w:r>
        <w:rPr>
          <w:rFonts w:hint="eastAsia" w:asciiTheme="minorEastAsia" w:hAnsiTheme="minorEastAsia" w:cstheme="minorEastAsia"/>
          <w:sz w:val="28"/>
          <w:szCs w:val="28"/>
        </w:rPr>
        <w:t>公益科研机构和高等院校不断增强现有研究领域与优势学科的创新能力。新建了一批国家、自治区级创新平台载体，巴彦淖尔国家农业高新技术产业示范区建设发展规划由自治区政府上报国务院待批，建成国家农业科技园区1个。“天赋河套”创新创业孵化基地入驻生物科技、食品加工等企业43家，国家级“双创”载体达到7家，院士专家工作站达到11个，国家级高新技术企业达到57家。建成国家地方联合工程中心2家，自治区重点实验室2家，自治区工程技术中心12家，自治区企业研发中心57家，自治区级“双创”载体24家。建成自治区农牧业科技示范园区6个，特色科技产业化基地2个，市级农牧业科技示范园区17个，农牧业新品种引进示范平台形成规模效应。</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创新引领产业发展形成新优势。</w:t>
      </w:r>
      <w:r>
        <w:rPr>
          <w:rFonts w:hint="eastAsia" w:asciiTheme="minorEastAsia" w:hAnsiTheme="minorEastAsia" w:cstheme="minorEastAsia"/>
          <w:sz w:val="28"/>
          <w:szCs w:val="28"/>
        </w:rPr>
        <w:t>关键技术攻关取得积极进展，科技成果供给能力显著增强。黄河流域“山水林田湖草沙综合治理”关键技术以及流域水资源系统调控新模式和集成技术体系建设有序推进。“向日葵杂交品种选育关键技术研究与示范”推出一系列高抗、高产、优质新品种，成为全国乃至世界食葵育种标杆。“河套灌区小麦品质评价及优质生产技术研究”首次明确了河套小麦品质优势及其气候因素，申请9项专利，研发3个小麦新品种通过自治区审定，形成一套高产栽培技术规程。育成国审小麦新品种“巴麦13号”，是十三五期间西北春麦区仅有的三个国审品种之一，亩产达1100-1200斤，成功入选自治区十大农牧业科技成果。建立了超细型二狼山白绒山羊种质资源库，形成世界第一例克隆超细绒山羊。应用胚胎移植技术实现巴美肉羊多胎育种核心群的快速扩繁和有效保种。“农区奶牛绿色养殖规范化研究示范”提高奶牛饲料转化率10%以上，单产提高1000公斤。可降解地膜覆盖节水灌溉技术解决了干旱盐渍化地区蒸散与向下及侧向渗透损失难题，有效提高了水的利用率。康复新液药品实现生产过程检测分析技术智能化控制，保证了产品质量稳定性。“200公斤级蓝宝石晶体生长技术研发”攻克该行业关键技术掣肘，打破国外技术和专利壁垒。</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创新支撑生态环境持续改善。</w:t>
      </w:r>
      <w:r>
        <w:rPr>
          <w:rFonts w:hint="eastAsia" w:asciiTheme="minorEastAsia" w:hAnsiTheme="minorEastAsia" w:cstheme="minorEastAsia"/>
          <w:sz w:val="28"/>
          <w:szCs w:val="28"/>
        </w:rPr>
        <w:t>与中国科学院、中国农业大学、武汉大学联合开展的国家重点研发计划项目“河套平原盐碱地生态治理关键技术研究”引进100多名专家和硕博士生创新团队，取得一批实验数据和重要成果，5万亩盐碱地改良项目成为全国样板区。“乌梁素海水污染控制与综合治理关键技术研发与集成示范”开展湖泊内源污染防控、面源污染消减、点源污染调控以及河渠—湖泊连续体水质改善技术集成示范，相关成果对湖区生物多样性保护、生态系统服务功能维持、水源涵养和防风固沙具有重要意义。乌兰布和沙漠治理区被命名为全国“绿水青山就是金山银山”实践创新基地，肉苁蓉接种及种植深加工、菌草品种筛选及快繁等沙生植物资源综合开发利用技术体系逐渐形成。在磴口县建立油莎豆防风固沙技术示范基地，促进形成治沙与产业相结合的生态经济优化模式。河套灌区生态系统变化过程及响应机制研究提供了灌区可持续发展中环境健康、生态优化等重大科技问题解决方案。</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创新环境配套支持政策逐步优化。</w:t>
      </w:r>
      <w:r>
        <w:rPr>
          <w:rFonts w:hint="eastAsia" w:asciiTheme="minorEastAsia" w:hAnsiTheme="minorEastAsia" w:cstheme="minorEastAsia"/>
          <w:sz w:val="28"/>
          <w:szCs w:val="28"/>
        </w:rPr>
        <w:t>市政府出台《进一步推动创新驱动发展战略的实施意见》《关于支持建设国家农业高新技术产业示范区的若干政策》《巴彦淖尔市人才引进和培养实施办法》。研究制定了《巴彦淖尔市科技创新十大行动》《巴彦淖尔市关于贯彻落实全区“科技兴蒙”行动实施方案》。巴彦淖尔国家农业高新技术产业示范区受益于自治区“科技兴蒙”政策，获得每年5000万元专项资金支持连续5年不间断；示范区建设规划在加大财政支持、创新金融机制、强化基金引导、优化融资环境、完善配套设施等方面明确了政策导向。</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强化科技合作创新资源有效集聚。</w:t>
      </w:r>
      <w:r>
        <w:rPr>
          <w:rFonts w:hint="eastAsia" w:asciiTheme="minorEastAsia" w:hAnsiTheme="minorEastAsia" w:cstheme="minorEastAsia"/>
          <w:sz w:val="28"/>
          <w:szCs w:val="28"/>
        </w:rPr>
        <w:t>强力推进国内外科技交流与合作，突出平台载体建设与科技项目带动。借助“科技兴蒙”行动健全产学研机制，突出合作实效。与中国农大共建河套灌区研究院；与中科院南京土壤所合作建立耕地地力提升成果转化应用中心；与中国农业科学院兰州畜牧与兽药研究所共建农业农村部畜产品质量安全风险评估实验室（兰州）巴彦淖尔区域实验室；与江南大学合作共建江南大学技术转移分中心；与杨凌管委会、西北农林科技大学合作推进农高区、生态治理、经济林标准化园区等建设；依托内蒙古农大、内蒙古农科院、河套学院、巴彦淖尔市农科所等科研院校和科技企业，建设西北地区育苗中心、现代化湖羊种羊繁育中心、羊克隆工厂、智慧设施农业展示中心、小麦育种与深加工研究中心等；入选“科创中国”首批试点城市，建成17个“科技小院”。</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科技成果转化与科技扶贫成效显著。</w:t>
      </w:r>
      <w:r>
        <w:rPr>
          <w:rFonts w:hint="eastAsia" w:asciiTheme="minorEastAsia" w:hAnsiTheme="minorEastAsia" w:cstheme="minorEastAsia"/>
          <w:sz w:val="28"/>
          <w:szCs w:val="28"/>
        </w:rPr>
        <w:t>健全实用科技成果转化项目库，按照自治区科技成果转移转化整体布局，完善三级联动、一网运行的巴彦淖尔技术市场体系。重点围绕河套全域绿色有机高端农畜产品生产加工输出服务基地建设开展技术示范推广，支持节本增效、优质安全、绿色环保、智慧农业等先进实用技术转化应用。科技小院集成全域绿色生产生态环境、果蔬全产业绿色发展、向日葵绿色生产、玉米规模化绿色生产、麦后复种多元栽培、西甜果高产高效栽培、病虫害绿色防护等技术模式7套，辐射带动面积超过100万亩。助力打赢脱贫攻坚战，实施科技精准扶贫行动，新增自治区科技特派员工作站3家，选派800多名科技特派员和“三区”科技人员下基层开展技术指导和新型经营主体服务4000多次，推送科技信息2388条，开展专题培训135692人次。下沉科技活动周助力乡村振兴，促进农牧民科技素质提升。</w:t>
      </w:r>
      <w:bookmarkStart w:id="6" w:name="_Toc15718"/>
      <w:bookmarkStart w:id="7" w:name="_Toc83540926"/>
    </w:p>
    <w:p>
      <w:pPr>
        <w:spacing w:line="520" w:lineRule="exact"/>
        <w:ind w:firstLine="600" w:firstLineChars="200"/>
        <w:rPr>
          <w:rFonts w:ascii="黑体" w:hAnsi="黑体" w:eastAsia="黑体" w:cs="黑体"/>
          <w:sz w:val="30"/>
          <w:szCs w:val="30"/>
        </w:rPr>
      </w:pPr>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科技创新面临的形势</w:t>
      </w:r>
      <w:bookmarkEnd w:id="6"/>
      <w:bookmarkEnd w:id="7"/>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科技发展存在的主要问题。</w:t>
      </w:r>
      <w:r>
        <w:rPr>
          <w:rFonts w:hint="eastAsia" w:asciiTheme="minorEastAsia" w:hAnsiTheme="minorEastAsia" w:cstheme="minorEastAsia"/>
          <w:sz w:val="28"/>
          <w:szCs w:val="28"/>
        </w:rPr>
        <w:t>我市科技基础薄弱，区域创新条件仍处弱势，应对机遇和挑战变化能力不足。创新链与产业链对接不到位，科技成果转化应用亟须加强，“十三五”确定的全社会研究与试验发展经费占地区生产总值比重指标尚存较大差距，研发资源利用效率不高，平台载体建设短板明显，高层次创新团队和领军人才匮乏，吸引人才、用好人才的环境有待改善。基于自主知识产权的企业核心竞争力普遍较低，创新成果主要集中在产业链低端，多数传统产业、服务业和部分新兴产业中低技术仍占主导。县域科技创新支撑作用整体偏弱，科技体制机制深层次矛盾和问题依然存在。</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科学应变新机遇新挑战</w:t>
      </w:r>
      <w:r>
        <w:rPr>
          <w:rFonts w:hint="eastAsia" w:asciiTheme="minorEastAsia" w:hAnsiTheme="minorEastAsia" w:cstheme="minorEastAsia"/>
          <w:sz w:val="28"/>
          <w:szCs w:val="28"/>
        </w:rPr>
        <w:t>。“十四五”时期，是我市全面贯彻新发展理念、构建新发展格局，开启建设社会主义现代化新征程的关键时期。我市的产业发展基础、向北开放区位和国家功能定位的优势相互叠加，为推进以生态优先、绿色发展为导向的高质量发展新路子创造了良好的机遇和条件。巴彦淖尔市第五次党代会明确提出今后五年要坚持生态优先绿色发展，以高水平保护为基础推进生态环境系统治理，建设黄河流域生态治理保护示范区；要深入贯彻新发展理念，以高质量发展为主题推进经济绿色低碳转型，着力构建现代产业体系；要坚持以人民为中心的发展思想，以高品质生活为目的持续保障和改善民生，在推动共同富裕上取得实质性进展；要统筹发展和安全，以高效能治理为抓手营造共建共治共享的发展环境，全面提高社会治理现代化水平的目标任务，进一步确立科技创新在新发展格局中的核心地位。以创新驱动和高质量科技供给助力“育新机、开新局”，引领推进高水平生态保护、高质量经济发展、高品质人民生活，为全面实施创新驱动发展战略迎来了新的机遇和挑战。</w:t>
      </w:r>
      <w:bookmarkStart w:id="8" w:name="_Toc83540927"/>
      <w:bookmarkStart w:id="9" w:name="_Toc18392"/>
    </w:p>
    <w:p>
      <w:pPr>
        <w:spacing w:line="520" w:lineRule="exact"/>
        <w:ind w:firstLine="560" w:firstLineChars="200"/>
        <w:rPr>
          <w:rFonts w:asciiTheme="minorEastAsia" w:hAnsiTheme="minorEastAsia" w:cstheme="minorEastAsia"/>
          <w:sz w:val="28"/>
          <w:szCs w:val="28"/>
        </w:rPr>
      </w:pPr>
    </w:p>
    <w:p>
      <w:pPr>
        <w:spacing w:line="520" w:lineRule="exact"/>
        <w:jc w:val="center"/>
        <w:rPr>
          <w:rFonts w:ascii="黑体" w:hAnsi="黑体" w:eastAsia="黑体" w:cs="黑体"/>
          <w:sz w:val="32"/>
          <w:szCs w:val="32"/>
        </w:rPr>
      </w:pPr>
      <w:r>
        <w:rPr>
          <w:rFonts w:hint="eastAsia" w:ascii="黑体" w:hAnsi="黑体" w:eastAsia="黑体" w:cs="黑体"/>
          <w:sz w:val="32"/>
          <w:szCs w:val="32"/>
        </w:rPr>
        <w:t>第二章  “十四五”发展蓝图</w:t>
      </w:r>
      <w:bookmarkEnd w:id="8"/>
      <w:bookmarkEnd w:id="9"/>
      <w:bookmarkStart w:id="10" w:name="_Toc31776"/>
      <w:bookmarkStart w:id="11" w:name="_Toc83540928"/>
    </w:p>
    <w:p>
      <w:pPr>
        <w:spacing w:line="520" w:lineRule="exact"/>
        <w:ind w:firstLine="560" w:firstLineChars="200"/>
        <w:rPr>
          <w:rFonts w:ascii="黑体" w:hAnsi="黑体" w:eastAsia="黑体" w:cs="黑体"/>
          <w:sz w:val="28"/>
          <w:szCs w:val="28"/>
        </w:rPr>
      </w:pPr>
    </w:p>
    <w:p>
      <w:pPr>
        <w:spacing w:line="520" w:lineRule="exact"/>
        <w:ind w:firstLine="600" w:firstLineChars="200"/>
        <w:rPr>
          <w:rFonts w:ascii="黑体" w:hAnsi="黑体" w:eastAsia="黑体" w:cs="黑体"/>
          <w:b/>
          <w:bCs/>
          <w:sz w:val="30"/>
          <w:szCs w:val="30"/>
        </w:rPr>
      </w:pPr>
      <w:r>
        <w:rPr>
          <w:rFonts w:hint="eastAsia" w:ascii="黑体" w:hAnsi="黑体" w:eastAsia="黑体" w:cs="黑体"/>
          <w:sz w:val="30"/>
          <w:szCs w:val="30"/>
        </w:rPr>
        <w:t>第一节  指导思想和基本原则</w:t>
      </w:r>
      <w:bookmarkEnd w:id="10"/>
      <w:bookmarkEnd w:id="11"/>
    </w:p>
    <w:p>
      <w:pPr>
        <w:spacing w:line="520" w:lineRule="exact"/>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一、指导思想</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坚持以习近平新时代中国特色社会主义思想为指导，深入贯彻党的十九大和十九届历次全会精神以及习近平总书记对内蒙古重要讲话重要指示批示精神，特别是习近平总书记关于乌梁素海治理和河套灌区发展现代农业的重要指示精神，按照坚持走好以生态优先、绿色发展为导向的高质量发展新路子的总体要求，紧扣筑牢“两个屏障”、建设“两个基地”和“一个桥头堡”的战略定位，完整准确全面贯彻新发展阶理念，积极服务和融入新发展格局，聚焦“五高五新”目标，以“科技兴蒙”行动为统领，以增强自主创新能力为中心，以支撑高质量发展为主线，以科技体制机制改革和科技对外开放为动力，深入实施创新驱动发展战略，加快构建“四区（黄河流域创新性践行习近平生态文明思想示范区、绿色发展先行区、乡村振兴样板区</w:t>
      </w:r>
      <w:r>
        <w:rPr>
          <w:rFonts w:hint="eastAsia" w:asciiTheme="minorEastAsia" w:hAnsiTheme="minorEastAsia" w:cstheme="minorEastAsia"/>
          <w:color w:val="auto"/>
          <w:sz w:val="28"/>
          <w:szCs w:val="28"/>
        </w:rPr>
        <w:t>、生态农牧业科技创新发展引领区）、两基地</w:t>
      </w:r>
      <w:r>
        <w:rPr>
          <w:rFonts w:hint="eastAsia" w:asciiTheme="minorEastAsia" w:hAnsiTheme="minorEastAsia" w:cstheme="minorEastAsia"/>
          <w:sz w:val="28"/>
          <w:szCs w:val="28"/>
        </w:rPr>
        <w:t>（绿色农畜产品精深加工基地、清洁能源基地）、四集群（新材料产业集群、生物医药产业集群、装备制造产业集群、新型化工冶金产业集群）”，在原始创新、集成创新、引进消化吸收再创新方面不断取得关键突破，努力为全市绿色高质量发展提供科技支撑。</w:t>
      </w:r>
    </w:p>
    <w:p>
      <w:pPr>
        <w:spacing w:line="520" w:lineRule="exact"/>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二、基本原则</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保障需求，引领转型。</w:t>
      </w:r>
      <w:r>
        <w:rPr>
          <w:rFonts w:hint="eastAsia" w:asciiTheme="minorEastAsia" w:hAnsiTheme="minorEastAsia" w:cstheme="minorEastAsia"/>
          <w:sz w:val="28"/>
          <w:szCs w:val="28"/>
        </w:rPr>
        <w:t>聚焦自治区战略和我市经济社会发展重大需求，紧扣结构转型、产业迈向中高端凝炼创新目标，优选创新主题，布署创新任务。</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生态优先，绿色发展。</w:t>
      </w:r>
      <w:r>
        <w:rPr>
          <w:rFonts w:hint="eastAsia" w:asciiTheme="minorEastAsia" w:hAnsiTheme="minorEastAsia" w:cstheme="minorEastAsia"/>
          <w:sz w:val="28"/>
          <w:szCs w:val="28"/>
        </w:rPr>
        <w:t>牢固树立“绿水青山就是金山银山”理念，坚持把绿色发展、循环发展、低碳发展作为创新引领转型升级的重要着力点，切实保障破解生态安全制约的关键技术供给。</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民生为本，福祉共享。</w:t>
      </w:r>
      <w:r>
        <w:rPr>
          <w:rFonts w:hint="eastAsia" w:asciiTheme="minorEastAsia" w:hAnsiTheme="minorEastAsia" w:cstheme="minorEastAsia"/>
          <w:sz w:val="28"/>
          <w:szCs w:val="28"/>
        </w:rPr>
        <w:t>满足民众日益增长的美好生活新期待，把科技创新与增进民生福祉、提高人民群众生活质量和发展能力相结合，充分分享科技富民新成果，提升民众获得感。</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强化激励，人才驱动。</w:t>
      </w:r>
      <w:r>
        <w:rPr>
          <w:rFonts w:hint="eastAsia" w:asciiTheme="minorEastAsia" w:hAnsiTheme="minorEastAsia" w:cstheme="minorEastAsia"/>
          <w:sz w:val="28"/>
          <w:szCs w:val="28"/>
        </w:rPr>
        <w:t>坚持人才驱动作为本质要求，突出“高精尖缺”导向，改革和发展人才发展机制，建立有利于人才脱颖而出、充分展示才能的选人用人机制，激发各类人才积极性和创造性。</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巩固优势，补齐短板。</w:t>
      </w:r>
      <w:r>
        <w:rPr>
          <w:rFonts w:hint="eastAsia" w:asciiTheme="minorEastAsia" w:hAnsiTheme="minorEastAsia" w:cstheme="minorEastAsia"/>
          <w:sz w:val="28"/>
          <w:szCs w:val="28"/>
        </w:rPr>
        <w:t>以系统观念谋划全局，立足巴彦淖尔优势，着力破解难题、补齐短板，在充实薄弱环节中增强发展后劲，让发展更加协调平衡。</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改革开放，拓宽视野。</w:t>
      </w:r>
      <w:r>
        <w:rPr>
          <w:rFonts w:hint="eastAsia" w:asciiTheme="minorEastAsia" w:hAnsiTheme="minorEastAsia" w:cstheme="minorEastAsia"/>
          <w:sz w:val="28"/>
          <w:szCs w:val="28"/>
        </w:rPr>
        <w:t>以深化科技体制改革为动力，破除一切不利于创新驱动的体制机制障碍，以宽广的世界眼界和大局观念谋划发展，不断扩大开放合作力度，提高创新合作能力水平。</w:t>
      </w:r>
      <w:bookmarkStart w:id="12" w:name="_Toc31651"/>
      <w:bookmarkStart w:id="13" w:name="_Toc83540929"/>
    </w:p>
    <w:p>
      <w:pPr>
        <w:spacing w:line="520" w:lineRule="exact"/>
        <w:ind w:firstLine="600" w:firstLineChars="200"/>
        <w:rPr>
          <w:rFonts w:ascii="黑体" w:hAnsi="黑体" w:eastAsia="黑体" w:cs="黑体"/>
          <w:sz w:val="30"/>
          <w:szCs w:val="30"/>
        </w:rPr>
      </w:pPr>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战略定位</w:t>
      </w:r>
      <w:bookmarkEnd w:id="12"/>
      <w:bookmarkEnd w:id="13"/>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立足“五高五新”目标和建设“四区”“两基地”“四集群”的奋斗目标和战略定位，强化发展新优势，精准定位特色创新新格局，充分发挥区域性示范标杆功能。</w:t>
      </w:r>
    </w:p>
    <w:p>
      <w:pPr>
        <w:spacing w:line="52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承载黄河流域创新性践行习近平生态文明思想示范区建设目标，集聚国内顶流生态综合治理科技资源，打造山水林田湖草沙综合治理技术集群，构建绿水青山科学实验示范基地。</w:t>
      </w:r>
    </w:p>
    <w:p>
      <w:pPr>
        <w:spacing w:line="52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依托巴彦淖尔</w:t>
      </w:r>
      <w:r>
        <w:rPr>
          <w:rFonts w:hint="eastAsia" w:asciiTheme="minorEastAsia" w:hAnsiTheme="minorEastAsia" w:cstheme="minorEastAsia"/>
          <w:color w:val="auto"/>
          <w:sz w:val="28"/>
          <w:szCs w:val="28"/>
          <w:lang w:eastAsia="zh-CN"/>
        </w:rPr>
        <w:t>国家农业高新技术产业示范区建设，</w:t>
      </w:r>
      <w:r>
        <w:rPr>
          <w:rFonts w:hint="default" w:asciiTheme="minorEastAsia" w:hAnsiTheme="minorEastAsia" w:cstheme="minorEastAsia"/>
          <w:color w:val="auto"/>
          <w:sz w:val="28"/>
          <w:szCs w:val="28"/>
          <w:lang w:val="en-US" w:eastAsia="zh-CN"/>
        </w:rPr>
        <w:t>认真落实习近平总书记关于河套灌区发展现代农业重要指示，牢固树立生态优先、绿色发展的理念，全面实施创新驱动发展战略和乡村振兴战略，以河套灌区生态农牧业为主题，</w:t>
      </w:r>
      <w:r>
        <w:rPr>
          <w:rFonts w:hint="eastAsia" w:asciiTheme="minorEastAsia" w:hAnsiTheme="minorEastAsia" w:cstheme="minorEastAsia"/>
          <w:color w:val="auto"/>
          <w:sz w:val="28"/>
          <w:szCs w:val="28"/>
        </w:rPr>
        <w:t>集聚优势创新资源，</w:t>
      </w:r>
      <w:r>
        <w:rPr>
          <w:rFonts w:hint="eastAsia" w:asciiTheme="minorEastAsia" w:hAnsiTheme="minorEastAsia" w:cstheme="minorEastAsia"/>
          <w:color w:val="auto"/>
          <w:sz w:val="28"/>
          <w:szCs w:val="28"/>
          <w:lang w:eastAsia="zh-CN"/>
        </w:rPr>
        <w:t>全</w:t>
      </w:r>
      <w:r>
        <w:rPr>
          <w:rFonts w:hint="eastAsia" w:asciiTheme="minorEastAsia" w:hAnsiTheme="minorEastAsia" w:cstheme="minorEastAsia"/>
          <w:color w:val="auto"/>
          <w:sz w:val="28"/>
          <w:szCs w:val="28"/>
        </w:rPr>
        <w:t>力打造全国生态农牧业科技创新发展引领区、</w:t>
      </w:r>
      <w:r>
        <w:rPr>
          <w:rFonts w:hint="eastAsia" w:asciiTheme="minorEastAsia" w:hAnsiTheme="minorEastAsia" w:cstheme="minorEastAsia"/>
          <w:color w:val="auto"/>
          <w:sz w:val="28"/>
          <w:szCs w:val="28"/>
          <w:lang w:eastAsia="zh-CN"/>
        </w:rPr>
        <w:t>“一带一路”农牧业科技合作先行区、</w:t>
      </w:r>
      <w:r>
        <w:rPr>
          <w:rFonts w:hint="eastAsia" w:asciiTheme="minorEastAsia" w:hAnsiTheme="minorEastAsia" w:cstheme="minorEastAsia"/>
          <w:color w:val="auto"/>
          <w:sz w:val="28"/>
          <w:szCs w:val="28"/>
        </w:rPr>
        <w:t>农村一二三产业融合发展样板区。</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发展具有浓郁地方特色的河套绿色农畜产品精深加工技术体系，为“天赋河套”品牌注入科技内涵，提升名特优新农畜产品优势。</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把握国家清洁能源基地建设契机，推进风光、生物质能、清洁煤电、能源存储技术全面提升，形成蒙西地区清洁能源创新功能储备区。</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丰富对蒙开发开放重要窗口的科技架构，建设国家重要的对蒙科技交流合作先行示范区和合作成果储备区。</w:t>
      </w:r>
    </w:p>
    <w:p>
      <w:pPr>
        <w:spacing w:line="520" w:lineRule="exact"/>
        <w:ind w:firstLine="600" w:firstLineChars="200"/>
        <w:rPr>
          <w:rFonts w:ascii="黑体" w:hAnsi="黑体" w:eastAsia="黑体" w:cs="黑体"/>
          <w:sz w:val="30"/>
          <w:szCs w:val="30"/>
        </w:rPr>
      </w:pPr>
      <w:bookmarkStart w:id="14" w:name="_Toc83540930"/>
      <w:bookmarkStart w:id="15" w:name="_Toc8822"/>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第三节  发展目标</w:t>
      </w:r>
      <w:bookmarkEnd w:id="14"/>
      <w:bookmarkEnd w:id="15"/>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经过5年不懈努力，综合科技进步水平显著提高，创新能力得到全面突破，产业整体技术水平持续提升，创新型人才队伍逐步壮大，创新创业生态持续优化，创新驱动发展的支撑条件明显改善。</w:t>
      </w:r>
    </w:p>
    <w:p>
      <w:pPr>
        <w:spacing w:line="520" w:lineRule="exact"/>
        <w:ind w:firstLine="562" w:firstLineChars="200"/>
        <w:jc w:val="left"/>
        <w:rPr>
          <w:rFonts w:asciiTheme="minorEastAsia" w:hAnsiTheme="minorEastAsia" w:cstheme="minorEastAsia"/>
          <w:sz w:val="28"/>
          <w:szCs w:val="28"/>
        </w:rPr>
      </w:pPr>
      <w:r>
        <w:rPr>
          <w:rFonts w:hint="eastAsia" w:asciiTheme="minorEastAsia" w:hAnsiTheme="minorEastAsia" w:cstheme="minorEastAsia"/>
          <w:b/>
          <w:bCs/>
          <w:sz w:val="28"/>
          <w:szCs w:val="28"/>
        </w:rPr>
        <w:t>——创新投入水平显著提高</w:t>
      </w:r>
      <w:r>
        <w:rPr>
          <w:rFonts w:hint="eastAsia" w:asciiTheme="minorEastAsia" w:hAnsiTheme="minorEastAsia" w:cstheme="minorEastAsia"/>
          <w:sz w:val="28"/>
          <w:szCs w:val="28"/>
        </w:rPr>
        <w:t>。全社会科学研究与试验发展经费保持年均14%增长速率。各级政府科技创新资金投入逐年增长，相关部门用于科技专项的资金比例持续扩大，企业R&amp;D投入占比逐步加大，承担国家和自治区重大科技项目数和支持资金数同步增长。</w:t>
      </w:r>
    </w:p>
    <w:p>
      <w:pPr>
        <w:spacing w:line="520" w:lineRule="exact"/>
        <w:ind w:firstLine="562" w:firstLineChars="200"/>
        <w:jc w:val="left"/>
        <w:rPr>
          <w:rFonts w:asciiTheme="minorEastAsia" w:hAnsiTheme="minorEastAsia" w:cstheme="minorEastAsia"/>
          <w:sz w:val="28"/>
          <w:szCs w:val="28"/>
        </w:rPr>
      </w:pPr>
      <w:r>
        <w:rPr>
          <w:rFonts w:hint="eastAsia" w:asciiTheme="minorEastAsia" w:hAnsiTheme="minorEastAsia" w:cstheme="minorEastAsia"/>
          <w:b/>
          <w:bCs/>
          <w:sz w:val="28"/>
          <w:szCs w:val="28"/>
        </w:rPr>
        <w:t>——创新产出能力大幅提升</w:t>
      </w:r>
      <w:r>
        <w:rPr>
          <w:rFonts w:hint="eastAsia" w:asciiTheme="minorEastAsia" w:hAnsiTheme="minorEastAsia" w:cstheme="minorEastAsia"/>
          <w:sz w:val="28"/>
          <w:szCs w:val="28"/>
        </w:rPr>
        <w:t>。自主创新成果、自主产品获得数量稳步增长，每万人高价值发明专利拥有量力争自治区中等靠前位置，全市认定登记技术合同金额不低于“十三五”末期的1.5倍，获得国家、自治区科技进步奖项数和专利授权、国家或地方标准以及具有自主知识产权关键核心技术均有不同程度增长。</w:t>
      </w:r>
    </w:p>
    <w:p>
      <w:pPr>
        <w:spacing w:line="520" w:lineRule="exact"/>
        <w:ind w:firstLine="562" w:firstLineChars="200"/>
        <w:jc w:val="left"/>
        <w:rPr>
          <w:rFonts w:asciiTheme="minorEastAsia" w:hAnsiTheme="minorEastAsia" w:cstheme="minorEastAsia"/>
          <w:sz w:val="28"/>
          <w:szCs w:val="28"/>
        </w:rPr>
      </w:pPr>
      <w:r>
        <w:rPr>
          <w:rFonts w:hint="eastAsia" w:asciiTheme="minorEastAsia" w:hAnsiTheme="minorEastAsia" w:cstheme="minorEastAsia"/>
          <w:b/>
          <w:bCs/>
          <w:sz w:val="28"/>
          <w:szCs w:val="28"/>
        </w:rPr>
        <w:t>——创新体系建设日臻完善</w:t>
      </w:r>
      <w:r>
        <w:rPr>
          <w:rFonts w:hint="eastAsia" w:asciiTheme="minorEastAsia" w:hAnsiTheme="minorEastAsia" w:cstheme="minorEastAsia"/>
          <w:sz w:val="28"/>
          <w:szCs w:val="28"/>
        </w:rPr>
        <w:t>。公益科研机构向着现代院所全面迈进，创建培育10家自治区级创新平台，认定自治区级企业研发中心25家，认定市级企业研发中心50家以上，认定自治区以上众创空间10家，星创天地15家，认定科技型中小企业60家以上。选择优势领域新建一批产业技术创新中心、企业重点实验室、临床医学研究中心、野外科学观测研究站等。全面完成巴彦淖尔国家农业高新技术产业示范区建设任务。</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——产业转型升级明显加快</w:t>
      </w:r>
      <w:r>
        <w:rPr>
          <w:rFonts w:hint="eastAsia" w:asciiTheme="minorEastAsia" w:hAnsiTheme="minorEastAsia" w:cstheme="minorEastAsia"/>
          <w:sz w:val="28"/>
          <w:szCs w:val="28"/>
        </w:rPr>
        <w:t>。着力掌握一批关键技术，突破一批前沿技术，数字经济核心产业增加值占地区生产总值比重大幅增长，知识密集型服务业技术应用达到自治区先进水平，农牧业主体技术保持自治区领先水平，助力“天赋河套”区域公用品牌唱响全国。绿色低碳技术广泛应用于传统产业转型升级，新一代信息技术与产业升级、新型城镇化、乡村振兴、民生与社会治理融合发展。</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b/>
          <w:sz w:val="28"/>
          <w:szCs w:val="28"/>
        </w:rPr>
        <w:t>生态环境改善成效突出。</w:t>
      </w:r>
      <w:r>
        <w:rPr>
          <w:rFonts w:hint="eastAsia" w:asciiTheme="minorEastAsia" w:hAnsiTheme="minorEastAsia" w:cstheme="minorEastAsia"/>
          <w:sz w:val="28"/>
          <w:szCs w:val="28"/>
        </w:rPr>
        <w:t>科学技术驱动生态环境保护格局明显优化，乌梁素海生态隐患得到有效治理，全市生态环境整体改善，“一屏一带三片多点”生态功能和生物多样性基本恢复。中心城市环境污染得到控制，能源高效、清洁利用取得重大突破，废弃物通过循环再生实现资源化。</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b/>
          <w:sz w:val="28"/>
          <w:szCs w:val="28"/>
        </w:rPr>
        <w:t>社会发展科技水平跃上新台阶。</w:t>
      </w:r>
      <w:r>
        <w:rPr>
          <w:rFonts w:hint="eastAsia" w:asciiTheme="minorEastAsia" w:hAnsiTheme="minorEastAsia" w:cstheme="minorEastAsia"/>
          <w:sz w:val="28"/>
          <w:szCs w:val="28"/>
        </w:rPr>
        <w:t>增进民生福祉的科技供给能力显著提高，教育、卫生、文化、人口、公共安全等主要社会事业新技术应用达到自治区中等靠前水平，人民科学文化素质和身心健康素质明显提高，初步形成完整实用的科技支撑体系。</w:t>
      </w:r>
    </w:p>
    <w:p>
      <w:pPr>
        <w:spacing w:line="520" w:lineRule="exact"/>
        <w:ind w:firstLine="562" w:firstLineChars="200"/>
        <w:rPr>
          <w:rFonts w:ascii="幼圆" w:eastAsia="幼圆"/>
          <w:b/>
          <w:sz w:val="28"/>
          <w:szCs w:val="28"/>
        </w:rPr>
      </w:pPr>
      <w:r>
        <w:rPr>
          <w:rFonts w:hint="eastAsia" w:asciiTheme="minorEastAsia" w:hAnsiTheme="minorEastAsia" w:cstheme="minorEastAsia"/>
          <w:b/>
          <w:sz w:val="28"/>
          <w:szCs w:val="28"/>
        </w:rPr>
        <w:t>——科技人才队伍不断壮大</w:t>
      </w:r>
      <w:r>
        <w:rPr>
          <w:rFonts w:hint="eastAsia" w:asciiTheme="minorEastAsia" w:hAnsiTheme="minorEastAsia" w:cstheme="minorEastAsia"/>
          <w:sz w:val="28"/>
          <w:szCs w:val="28"/>
        </w:rPr>
        <w:t>。R&amp;D人员总量保持4%的增长速度，每万名就业人员R&amp;D人力投入达到自治区平均水平。引进培育一批高端创新领军人才、学科技术带头人，带动一批青年研发骨干成长，创新引才模式，人才发展机制逐步完善，人才结构持续优化，人才资源市场功能有效发挥，创新人才资源配置和流动更加高效合理。</w:t>
      </w:r>
      <w:bookmarkStart w:id="16" w:name="_Toc83540931"/>
    </w:p>
    <w:p>
      <w:pPr>
        <w:spacing w:beforeLines="50" w:afterLines="50" w:line="520" w:lineRule="exact"/>
        <w:ind w:right="525" w:rightChars="250"/>
        <w:jc w:val="center"/>
        <w:rPr>
          <w:rFonts w:ascii="幼圆" w:eastAsia="幼圆"/>
          <w:b/>
          <w:sz w:val="24"/>
          <w:szCs w:val="24"/>
        </w:rPr>
      </w:pPr>
      <w:r>
        <w:rPr>
          <w:rFonts w:hint="eastAsia" w:ascii="幼圆" w:eastAsia="幼圆"/>
          <w:b/>
          <w:sz w:val="28"/>
          <w:szCs w:val="28"/>
        </w:rPr>
        <w:t>专栏1  巴彦淖尔市“十四五”科技创新预期指标</w:t>
      </w:r>
    </w:p>
    <w:tbl>
      <w:tblPr>
        <w:tblStyle w:val="13"/>
        <w:tblW w:w="7552" w:type="dxa"/>
        <w:jc w:val="center"/>
        <w:tblBorders>
          <w:top w:val="single" w:color="595959" w:sz="8" w:space="0"/>
          <w:left w:val="none" w:color="auto" w:sz="0" w:space="0"/>
          <w:bottom w:val="single" w:color="595959" w:sz="8" w:space="0"/>
          <w:right w:val="none" w:color="auto" w:sz="0" w:space="0"/>
          <w:insideH w:val="single" w:color="595959" w:sz="4" w:space="0"/>
          <w:insideV w:val="single" w:color="595959" w:sz="4" w:space="0"/>
        </w:tblBorders>
        <w:tblLayout w:type="fixed"/>
        <w:tblCellMar>
          <w:top w:w="0" w:type="dxa"/>
          <w:left w:w="108" w:type="dxa"/>
          <w:bottom w:w="0" w:type="dxa"/>
          <w:right w:w="108" w:type="dxa"/>
        </w:tblCellMar>
      </w:tblPr>
      <w:tblGrid>
        <w:gridCol w:w="717"/>
        <w:gridCol w:w="4899"/>
        <w:gridCol w:w="894"/>
        <w:gridCol w:w="1042"/>
      </w:tblGrid>
      <w:tr>
        <w:tblPrEx>
          <w:tblBorders>
            <w:top w:val="single" w:color="595959" w:sz="8" w:space="0"/>
            <w:left w:val="none" w:color="auto" w:sz="0" w:space="0"/>
            <w:bottom w:val="single" w:color="595959" w:sz="8" w:space="0"/>
            <w:right w:val="none" w:color="auto" w:sz="0" w:space="0"/>
            <w:insideH w:val="single" w:color="595959" w:sz="4" w:space="0"/>
            <w:insideV w:val="single" w:color="595959" w:sz="4" w:space="0"/>
          </w:tblBorders>
          <w:tblCellMar>
            <w:top w:w="0" w:type="dxa"/>
            <w:left w:w="108" w:type="dxa"/>
            <w:bottom w:w="0" w:type="dxa"/>
            <w:right w:w="108" w:type="dxa"/>
          </w:tblCellMar>
        </w:tblPrEx>
        <w:trPr>
          <w:trHeight w:val="591" w:hRule="atLeast"/>
          <w:jc w:val="center"/>
        </w:trPr>
        <w:tc>
          <w:tcPr>
            <w:tcW w:w="717" w:type="dxa"/>
            <w:tcBorders>
              <w:top w:val="single" w:color="595959" w:sz="8" w:space="0"/>
              <w:bottom w:val="single" w:color="595959" w:sz="4" w:space="0"/>
              <w:tl2br w:val="nil"/>
              <w:tr2bl w:val="nil"/>
            </w:tcBorders>
            <w:shd w:val="clear" w:color="auto" w:fill="EFF8FB"/>
            <w:vAlign w:val="center"/>
          </w:tcPr>
          <w:p>
            <w:pPr>
              <w:tabs>
                <w:tab w:val="left" w:pos="714"/>
              </w:tabs>
              <w:spacing w:line="520" w:lineRule="exact"/>
              <w:jc w:val="center"/>
              <w:rPr>
                <w:rFonts w:ascii="宋体" w:hAnsi="宋体" w:eastAsia="宋体" w:cs="宋体"/>
                <w:szCs w:val="21"/>
              </w:rPr>
            </w:pPr>
            <w:r>
              <w:rPr>
                <w:rFonts w:hint="eastAsia" w:ascii="宋体" w:hAnsi="宋体" w:eastAsia="宋体" w:cs="宋体"/>
                <w:szCs w:val="21"/>
              </w:rPr>
              <w:t>序号</w:t>
            </w:r>
          </w:p>
        </w:tc>
        <w:tc>
          <w:tcPr>
            <w:tcW w:w="4899" w:type="dxa"/>
            <w:tcBorders>
              <w:top w:val="single" w:color="595959" w:sz="8" w:space="0"/>
              <w:bottom w:val="single" w:color="595959" w:sz="4" w:space="0"/>
              <w:tl2br w:val="nil"/>
              <w:tr2bl w:val="nil"/>
            </w:tcBorders>
            <w:shd w:val="clear" w:color="auto" w:fill="EFF8FB"/>
            <w:vAlign w:val="center"/>
          </w:tcPr>
          <w:p>
            <w:pPr>
              <w:tabs>
                <w:tab w:val="left" w:pos="714"/>
              </w:tabs>
              <w:spacing w:line="400" w:lineRule="exact"/>
              <w:jc w:val="center"/>
              <w:rPr>
                <w:rFonts w:ascii="宋体" w:hAnsi="宋体" w:eastAsia="宋体" w:cs="宋体"/>
                <w:szCs w:val="21"/>
              </w:rPr>
            </w:pPr>
            <w:r>
              <w:rPr>
                <w:rFonts w:hint="eastAsia" w:ascii="宋体" w:hAnsi="宋体" w:eastAsia="宋体" w:cs="宋体"/>
                <w:szCs w:val="21"/>
              </w:rPr>
              <w:t>指标名称</w:t>
            </w:r>
          </w:p>
        </w:tc>
        <w:tc>
          <w:tcPr>
            <w:tcW w:w="894" w:type="dxa"/>
            <w:tcBorders>
              <w:top w:val="single" w:color="595959" w:sz="8" w:space="0"/>
              <w:bottom w:val="single" w:color="595959" w:sz="4" w:space="0"/>
              <w:tl2br w:val="nil"/>
              <w:tr2bl w:val="nil"/>
            </w:tcBorders>
            <w:shd w:val="clear" w:color="auto" w:fill="EFF8FB"/>
            <w:vAlign w:val="center"/>
          </w:tcPr>
          <w:p>
            <w:pPr>
              <w:tabs>
                <w:tab w:val="left" w:pos="714"/>
              </w:tabs>
              <w:spacing w:line="400" w:lineRule="exact"/>
              <w:jc w:val="center"/>
              <w:rPr>
                <w:rFonts w:ascii="宋体" w:hAnsi="宋体" w:eastAsia="宋体" w:cs="宋体"/>
                <w:szCs w:val="21"/>
              </w:rPr>
            </w:pPr>
            <w:r>
              <w:rPr>
                <w:rFonts w:hint="eastAsia" w:ascii="宋体" w:hAnsi="宋体" w:eastAsia="宋体" w:cs="宋体"/>
                <w:szCs w:val="21"/>
              </w:rPr>
              <w:t>2020年</w:t>
            </w:r>
          </w:p>
        </w:tc>
        <w:tc>
          <w:tcPr>
            <w:tcW w:w="1042" w:type="dxa"/>
            <w:tcBorders>
              <w:top w:val="single" w:color="595959" w:sz="8" w:space="0"/>
              <w:bottom w:val="single" w:color="595959" w:sz="4" w:space="0"/>
              <w:tl2br w:val="nil"/>
              <w:tr2bl w:val="nil"/>
            </w:tcBorders>
            <w:shd w:val="clear" w:color="auto" w:fill="EFF8FB"/>
            <w:vAlign w:val="center"/>
          </w:tcPr>
          <w:p>
            <w:pPr>
              <w:tabs>
                <w:tab w:val="left" w:pos="714"/>
              </w:tabs>
              <w:spacing w:line="400" w:lineRule="exact"/>
              <w:jc w:val="center"/>
              <w:rPr>
                <w:rFonts w:ascii="宋体" w:hAnsi="宋体" w:eastAsia="宋体" w:cs="宋体"/>
                <w:szCs w:val="21"/>
              </w:rPr>
            </w:pPr>
            <w:r>
              <w:rPr>
                <w:rFonts w:hint="eastAsia" w:ascii="宋体" w:hAnsi="宋体" w:eastAsia="宋体" w:cs="宋体"/>
                <w:szCs w:val="21"/>
              </w:rPr>
              <w:t>2025年</w:t>
            </w:r>
          </w:p>
        </w:tc>
      </w:tr>
      <w:tr>
        <w:tblPrEx>
          <w:tblBorders>
            <w:top w:val="single" w:color="595959" w:sz="8" w:space="0"/>
            <w:left w:val="none" w:color="auto" w:sz="0" w:space="0"/>
            <w:bottom w:val="single" w:color="595959" w:sz="8" w:space="0"/>
            <w:right w:val="none" w:color="auto" w:sz="0" w:space="0"/>
            <w:insideH w:val="single" w:color="595959" w:sz="4" w:space="0"/>
            <w:insideV w:val="single" w:color="595959" w:sz="4" w:space="0"/>
          </w:tblBorders>
          <w:tblCellMar>
            <w:top w:w="0" w:type="dxa"/>
            <w:left w:w="108" w:type="dxa"/>
            <w:bottom w:w="0" w:type="dxa"/>
            <w:right w:w="108" w:type="dxa"/>
          </w:tblCellMar>
        </w:tblPrEx>
        <w:trPr>
          <w:trHeight w:val="582" w:hRule="atLeast"/>
          <w:jc w:val="center"/>
        </w:trPr>
        <w:tc>
          <w:tcPr>
            <w:tcW w:w="717" w:type="dxa"/>
            <w:tcBorders>
              <w:top w:val="single" w:color="595959" w:sz="4" w:space="0"/>
              <w:tl2br w:val="nil"/>
              <w:tr2bl w:val="nil"/>
            </w:tcBorders>
            <w:vAlign w:val="center"/>
          </w:tcPr>
          <w:p>
            <w:pPr>
              <w:tabs>
                <w:tab w:val="left" w:pos="714"/>
              </w:tabs>
              <w:spacing w:line="520" w:lineRule="exact"/>
              <w:jc w:val="center"/>
              <w:rPr>
                <w:rFonts w:ascii="宋体" w:hAnsi="宋体" w:cs="宋体"/>
                <w:sz w:val="24"/>
                <w:szCs w:val="24"/>
              </w:rPr>
            </w:pPr>
            <w:r>
              <w:rPr>
                <w:rFonts w:ascii="宋体" w:hAnsi="宋体" w:cs="宋体"/>
                <w:sz w:val="24"/>
                <w:szCs w:val="24"/>
              </w:rPr>
              <w:t>1</w:t>
            </w:r>
          </w:p>
        </w:tc>
        <w:tc>
          <w:tcPr>
            <w:tcW w:w="4899" w:type="dxa"/>
            <w:tcBorders>
              <w:top w:val="single" w:color="595959" w:sz="4" w:space="0"/>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both"/>
              <w:textAlignment w:val="auto"/>
              <w:rPr>
                <w:rFonts w:hint="eastAsia" w:ascii="仿宋_GB2312" w:hAnsi="宋体" w:eastAsia="仿宋_GB2312" w:cs="Times New Roman"/>
                <w:sz w:val="24"/>
                <w:szCs w:val="24"/>
                <w:lang w:eastAsia="zh-CN"/>
              </w:rPr>
            </w:pPr>
            <w:r>
              <w:rPr>
                <w:rFonts w:hint="eastAsia" w:ascii="仿宋_GB2312" w:hAnsi="宋体" w:eastAsia="仿宋_GB2312" w:cs="仿宋_GB2312"/>
                <w:color w:val="auto"/>
                <w:spacing w:val="-11"/>
                <w:sz w:val="24"/>
                <w:szCs w:val="24"/>
              </w:rPr>
              <w:t>全社会研发经费投入增长</w:t>
            </w:r>
            <w:r>
              <w:rPr>
                <w:rFonts w:hint="eastAsia" w:ascii="仿宋_GB2312" w:hAnsi="宋体" w:eastAsia="仿宋_GB2312" w:cs="仿宋_GB2312"/>
                <w:color w:val="auto"/>
                <w:spacing w:val="-11"/>
                <w:sz w:val="24"/>
                <w:szCs w:val="24"/>
                <w:lang w:eastAsia="zh-CN"/>
              </w:rPr>
              <w:t>（</w:t>
            </w:r>
            <w:r>
              <w:rPr>
                <w:rFonts w:hint="eastAsia" w:ascii="仿宋_GB2312" w:hAnsi="宋体" w:eastAsia="仿宋_GB2312" w:cs="仿宋_GB2312"/>
                <w:color w:val="auto"/>
                <w:sz w:val="24"/>
                <w:szCs w:val="24"/>
              </w:rPr>
              <w:t>%</w:t>
            </w:r>
            <w:r>
              <w:rPr>
                <w:rFonts w:hint="eastAsia" w:ascii="仿宋_GB2312" w:hAnsi="宋体" w:eastAsia="仿宋_GB2312" w:cs="仿宋_GB2312"/>
                <w:color w:val="auto"/>
                <w:spacing w:val="-11"/>
                <w:sz w:val="24"/>
                <w:szCs w:val="24"/>
                <w:lang w:eastAsia="zh-CN"/>
              </w:rPr>
              <w:t>）</w:t>
            </w:r>
          </w:p>
        </w:tc>
        <w:tc>
          <w:tcPr>
            <w:tcW w:w="894" w:type="dxa"/>
            <w:tcBorders>
              <w:top w:val="single" w:color="595959" w:sz="4" w:space="0"/>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center"/>
              <w:textAlignment w:val="auto"/>
              <w:rPr>
                <w:rFonts w:ascii="仿宋_GB2312" w:hAnsi="宋体" w:eastAsia="仿宋_GB2312" w:cs="仿宋_GB2312"/>
                <w:sz w:val="24"/>
                <w:szCs w:val="24"/>
              </w:rPr>
            </w:pPr>
            <w:r>
              <w:rPr>
                <w:rFonts w:hint="eastAsia" w:ascii="仿宋_GB2312" w:hAnsi="宋体" w:eastAsia="仿宋_GB2312" w:cs="仿宋_GB2312"/>
                <w:color w:val="auto"/>
                <w:sz w:val="24"/>
                <w:szCs w:val="24"/>
                <w:lang w:val="en-US" w:eastAsia="zh-CN"/>
              </w:rPr>
              <w:t>32</w:t>
            </w:r>
          </w:p>
        </w:tc>
        <w:tc>
          <w:tcPr>
            <w:tcW w:w="1042" w:type="dxa"/>
            <w:tcBorders>
              <w:top w:val="single" w:color="595959" w:sz="4" w:space="0"/>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ind w:right="73" w:rightChars="35"/>
              <w:jc w:val="center"/>
              <w:textAlignment w:val="auto"/>
              <w:rPr>
                <w:rFonts w:ascii="仿宋_GB2312" w:hAnsi="宋体" w:eastAsia="仿宋_GB2312" w:cs="仿宋_GB2312"/>
                <w:sz w:val="24"/>
                <w:szCs w:val="24"/>
              </w:rPr>
            </w:pPr>
            <w:r>
              <w:rPr>
                <w:rFonts w:ascii="Arial" w:hAnsi="Arial" w:eastAsia="仿宋_GB2312" w:cs="Arial"/>
                <w:color w:val="auto"/>
                <w:sz w:val="24"/>
                <w:szCs w:val="24"/>
              </w:rPr>
              <w:t>≥</w:t>
            </w:r>
            <w:r>
              <w:rPr>
                <w:rFonts w:hint="eastAsia" w:ascii="仿宋_GB2312" w:hAnsi="宋体" w:eastAsia="仿宋_GB2312" w:cs="仿宋_GB2312"/>
                <w:color w:val="auto"/>
                <w:sz w:val="24"/>
                <w:szCs w:val="24"/>
              </w:rPr>
              <w:t>14</w:t>
            </w:r>
          </w:p>
        </w:tc>
      </w:tr>
      <w:tr>
        <w:tblPrEx>
          <w:tblBorders>
            <w:top w:val="single" w:color="595959" w:sz="8" w:space="0"/>
            <w:left w:val="none" w:color="auto" w:sz="0" w:space="0"/>
            <w:bottom w:val="single" w:color="595959" w:sz="8" w:space="0"/>
            <w:right w:val="none" w:color="auto" w:sz="0" w:space="0"/>
            <w:insideH w:val="single" w:color="595959" w:sz="4" w:space="0"/>
            <w:insideV w:val="single" w:color="595959" w:sz="4" w:space="0"/>
          </w:tblBorders>
          <w:tblCellMar>
            <w:top w:w="0" w:type="dxa"/>
            <w:left w:w="108" w:type="dxa"/>
            <w:bottom w:w="0" w:type="dxa"/>
            <w:right w:w="108" w:type="dxa"/>
          </w:tblCellMar>
        </w:tblPrEx>
        <w:trPr>
          <w:trHeight w:val="582" w:hRule="atLeast"/>
          <w:jc w:val="center"/>
        </w:trPr>
        <w:tc>
          <w:tcPr>
            <w:tcW w:w="717" w:type="dxa"/>
            <w:tcBorders>
              <w:tl2br w:val="nil"/>
              <w:tr2bl w:val="nil"/>
            </w:tcBorders>
            <w:vAlign w:val="center"/>
          </w:tcPr>
          <w:p>
            <w:pPr>
              <w:tabs>
                <w:tab w:val="left" w:pos="714"/>
              </w:tabs>
              <w:spacing w:line="520" w:lineRule="exact"/>
              <w:jc w:val="center"/>
              <w:rPr>
                <w:rFonts w:ascii="宋体" w:hAnsi="宋体" w:cs="宋体"/>
                <w:sz w:val="24"/>
                <w:szCs w:val="24"/>
              </w:rPr>
            </w:pPr>
            <w:r>
              <w:rPr>
                <w:rFonts w:ascii="宋体" w:hAnsi="宋体" w:cs="宋体"/>
                <w:sz w:val="24"/>
                <w:szCs w:val="24"/>
              </w:rPr>
              <w:t>2</w:t>
            </w:r>
          </w:p>
        </w:tc>
        <w:tc>
          <w:tcPr>
            <w:tcW w:w="4899"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both"/>
              <w:textAlignment w:val="auto"/>
              <w:rPr>
                <w:rFonts w:ascii="仿宋_GB2312" w:hAnsi="宋体" w:eastAsia="仿宋_GB2312" w:cs="仿宋_GB2312"/>
                <w:sz w:val="24"/>
                <w:szCs w:val="24"/>
              </w:rPr>
            </w:pPr>
            <w:r>
              <w:rPr>
                <w:rFonts w:hint="eastAsia" w:ascii="仿宋_GB2312" w:hAnsi="宋体" w:eastAsia="仿宋_GB2312" w:cs="仿宋_GB2312"/>
                <w:color w:val="auto"/>
                <w:sz w:val="24"/>
                <w:szCs w:val="24"/>
              </w:rPr>
              <w:t>每万名就业人员</w:t>
            </w:r>
            <w:r>
              <w:rPr>
                <w:rFonts w:hint="eastAsia" w:ascii="仿宋_GB2312" w:hAnsi="宋体" w:eastAsia="仿宋_GB2312" w:cs="仿宋_GB2312"/>
                <w:color w:val="auto"/>
                <w:sz w:val="24"/>
                <w:szCs w:val="24"/>
                <w:lang w:eastAsia="zh-CN"/>
              </w:rPr>
              <w:t>中研发人员（</w:t>
            </w:r>
            <w:r>
              <w:rPr>
                <w:rFonts w:hint="eastAsia" w:ascii="仿宋_GB2312" w:hAnsi="宋体" w:eastAsia="仿宋_GB2312" w:cs="仿宋_GB2312"/>
                <w:color w:val="auto"/>
                <w:sz w:val="24"/>
                <w:szCs w:val="24"/>
              </w:rPr>
              <w:t>人年</w:t>
            </w:r>
            <w:r>
              <w:rPr>
                <w:rFonts w:hint="eastAsia" w:ascii="仿宋_GB2312" w:hAnsi="宋体" w:eastAsia="仿宋_GB2312" w:cs="仿宋_GB2312"/>
                <w:color w:val="auto"/>
                <w:sz w:val="24"/>
                <w:szCs w:val="24"/>
                <w:lang w:eastAsia="zh-CN"/>
              </w:rPr>
              <w:t>）</w:t>
            </w:r>
          </w:p>
        </w:tc>
        <w:tc>
          <w:tcPr>
            <w:tcW w:w="894"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center"/>
              <w:textAlignment w:val="auto"/>
              <w:rPr>
                <w:rFonts w:ascii="仿宋_GB2312" w:hAnsi="宋体" w:eastAsia="仿宋_GB2312" w:cs="仿宋_GB2312"/>
                <w:sz w:val="24"/>
                <w:szCs w:val="24"/>
              </w:rPr>
            </w:pPr>
            <w:r>
              <w:rPr>
                <w:rFonts w:hint="eastAsia" w:ascii="仿宋_GB2312" w:hAnsi="宋体" w:eastAsia="仿宋_GB2312" w:cs="仿宋_GB2312"/>
                <w:color w:val="auto"/>
                <w:sz w:val="24"/>
                <w:szCs w:val="24"/>
              </w:rPr>
              <w:t>17.5</w:t>
            </w:r>
          </w:p>
        </w:tc>
        <w:tc>
          <w:tcPr>
            <w:tcW w:w="1042" w:type="dxa"/>
            <w:tcBorders>
              <w:tl2br w:val="nil"/>
              <w:tr2bl w:val="nil"/>
            </w:tcBorders>
            <w:vAlign w:val="center"/>
          </w:tcPr>
          <w:p>
            <w:pPr>
              <w:keepNext w:val="0"/>
              <w:keepLines w:val="0"/>
              <w:pageBreakBefore w:val="0"/>
              <w:widowControl w:val="0"/>
              <w:tabs>
                <w:tab w:val="left" w:pos="793"/>
              </w:tabs>
              <w:kinsoku/>
              <w:wordWrap/>
              <w:overflowPunct/>
              <w:topLinePunct w:val="0"/>
              <w:autoSpaceDE/>
              <w:autoSpaceDN/>
              <w:bidi w:val="0"/>
              <w:adjustRightInd/>
              <w:snapToGrid/>
              <w:spacing w:line="400" w:lineRule="exact"/>
              <w:ind w:right="-31" w:rightChars="-15"/>
              <w:jc w:val="center"/>
              <w:textAlignment w:val="auto"/>
              <w:rPr>
                <w:rFonts w:ascii="仿宋_GB2312" w:hAnsi="宋体" w:eastAsia="仿宋_GB2312" w:cs="仿宋_GB2312"/>
                <w:sz w:val="24"/>
                <w:szCs w:val="24"/>
              </w:rPr>
            </w:pPr>
            <w:r>
              <w:rPr>
                <w:rFonts w:hint="eastAsia" w:ascii="仿宋_GB2312" w:hAnsi="宋体" w:eastAsia="仿宋_GB2312" w:cs="仿宋_GB2312"/>
                <w:color w:val="auto"/>
                <w:sz w:val="24"/>
                <w:szCs w:val="24"/>
              </w:rPr>
              <w:t>25.7</w:t>
            </w:r>
          </w:p>
        </w:tc>
      </w:tr>
      <w:tr>
        <w:tblPrEx>
          <w:tblBorders>
            <w:top w:val="single" w:color="595959" w:sz="8" w:space="0"/>
            <w:left w:val="none" w:color="auto" w:sz="0" w:space="0"/>
            <w:bottom w:val="single" w:color="595959" w:sz="8" w:space="0"/>
            <w:right w:val="none" w:color="auto" w:sz="0" w:space="0"/>
            <w:insideH w:val="single" w:color="595959" w:sz="4" w:space="0"/>
            <w:insideV w:val="single" w:color="595959" w:sz="4" w:space="0"/>
          </w:tblBorders>
          <w:tblCellMar>
            <w:top w:w="0" w:type="dxa"/>
            <w:left w:w="108" w:type="dxa"/>
            <w:bottom w:w="0" w:type="dxa"/>
            <w:right w:w="108" w:type="dxa"/>
          </w:tblCellMar>
        </w:tblPrEx>
        <w:trPr>
          <w:trHeight w:val="582" w:hRule="atLeast"/>
          <w:jc w:val="center"/>
        </w:trPr>
        <w:tc>
          <w:tcPr>
            <w:tcW w:w="717" w:type="dxa"/>
            <w:tcBorders>
              <w:tl2br w:val="nil"/>
              <w:tr2bl w:val="nil"/>
            </w:tcBorders>
            <w:vAlign w:val="center"/>
          </w:tcPr>
          <w:p>
            <w:pPr>
              <w:tabs>
                <w:tab w:val="left" w:pos="714"/>
              </w:tabs>
              <w:spacing w:line="520" w:lineRule="exact"/>
              <w:jc w:val="center"/>
              <w:rPr>
                <w:rFonts w:ascii="宋体" w:hAnsi="宋体" w:cs="宋体"/>
                <w:sz w:val="24"/>
                <w:szCs w:val="24"/>
              </w:rPr>
            </w:pPr>
            <w:r>
              <w:rPr>
                <w:rFonts w:ascii="宋体" w:hAnsi="宋体" w:cs="宋体"/>
                <w:sz w:val="24"/>
                <w:szCs w:val="24"/>
              </w:rPr>
              <w:t>3</w:t>
            </w:r>
          </w:p>
        </w:tc>
        <w:tc>
          <w:tcPr>
            <w:tcW w:w="4899"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both"/>
              <w:textAlignment w:val="auto"/>
              <w:rPr>
                <w:rFonts w:hint="eastAsia" w:ascii="仿宋_GB2312" w:hAnsi="宋体" w:eastAsia="仿宋_GB2312" w:cs="仿宋_GB2312"/>
                <w:sz w:val="24"/>
                <w:szCs w:val="24"/>
                <w:lang w:eastAsia="zh-CN"/>
              </w:rPr>
            </w:pPr>
            <w:r>
              <w:rPr>
                <w:rFonts w:hint="eastAsia" w:ascii="仿宋_GB2312" w:hAnsi="宋体" w:eastAsia="仿宋_GB2312" w:cs="Times New Roman"/>
                <w:color w:val="auto"/>
                <w:sz w:val="24"/>
                <w:szCs w:val="24"/>
                <w:lang w:eastAsia="zh-CN"/>
              </w:rPr>
              <w:t>技术市场</w:t>
            </w:r>
            <w:r>
              <w:rPr>
                <w:rFonts w:ascii="仿宋_GB2312" w:hAnsi="宋体" w:eastAsia="仿宋_GB2312" w:cs="Times New Roman"/>
                <w:color w:val="auto"/>
                <w:sz w:val="24"/>
                <w:szCs w:val="24"/>
              </w:rPr>
              <w:t>合同</w:t>
            </w:r>
            <w:r>
              <w:rPr>
                <w:rFonts w:hint="eastAsia" w:ascii="仿宋_GB2312" w:hAnsi="宋体" w:eastAsia="仿宋_GB2312" w:cs="Times New Roman"/>
                <w:color w:val="auto"/>
                <w:sz w:val="24"/>
                <w:szCs w:val="24"/>
                <w:lang w:eastAsia="zh-CN"/>
              </w:rPr>
              <w:t>成交</w:t>
            </w:r>
            <w:r>
              <w:rPr>
                <w:rFonts w:ascii="仿宋_GB2312" w:hAnsi="宋体" w:eastAsia="仿宋_GB2312" w:cs="Times New Roman"/>
                <w:color w:val="auto"/>
                <w:sz w:val="24"/>
                <w:szCs w:val="24"/>
              </w:rPr>
              <w:t>金额</w:t>
            </w:r>
            <w:r>
              <w:rPr>
                <w:rFonts w:hint="eastAsia" w:ascii="仿宋_GB2312" w:hAnsi="宋体" w:eastAsia="仿宋_GB2312" w:cs="Times New Roman"/>
                <w:color w:val="auto"/>
                <w:sz w:val="24"/>
                <w:szCs w:val="24"/>
                <w:lang w:eastAsia="zh-CN"/>
              </w:rPr>
              <w:t>（</w:t>
            </w:r>
            <w:r>
              <w:rPr>
                <w:rFonts w:ascii="仿宋_GB2312" w:hAnsi="宋体" w:eastAsia="仿宋_GB2312" w:cs="仿宋_GB2312"/>
                <w:color w:val="auto"/>
                <w:sz w:val="24"/>
                <w:szCs w:val="24"/>
              </w:rPr>
              <w:t>亿元</w:t>
            </w:r>
            <w:r>
              <w:rPr>
                <w:rFonts w:hint="eastAsia" w:ascii="仿宋_GB2312" w:hAnsi="宋体" w:eastAsia="仿宋_GB2312" w:cs="Times New Roman"/>
                <w:color w:val="auto"/>
                <w:sz w:val="24"/>
                <w:szCs w:val="24"/>
                <w:lang w:eastAsia="zh-CN"/>
              </w:rPr>
              <w:t>）</w:t>
            </w:r>
          </w:p>
        </w:tc>
        <w:tc>
          <w:tcPr>
            <w:tcW w:w="894"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center"/>
              <w:textAlignment w:val="auto"/>
              <w:rPr>
                <w:rFonts w:ascii="仿宋_GB2312" w:hAnsi="宋体" w:eastAsia="仿宋_GB2312" w:cs="仿宋_GB2312"/>
                <w:sz w:val="24"/>
                <w:szCs w:val="24"/>
              </w:rPr>
            </w:pPr>
            <w:r>
              <w:rPr>
                <w:rFonts w:hint="eastAsia" w:ascii="仿宋_GB2312" w:hAnsi="宋体" w:eastAsia="仿宋_GB2312" w:cs="仿宋_GB2312"/>
                <w:color w:val="auto"/>
                <w:sz w:val="24"/>
                <w:szCs w:val="24"/>
              </w:rPr>
              <w:t>0.5</w:t>
            </w:r>
            <w:r>
              <w:rPr>
                <w:rFonts w:hint="eastAsia" w:ascii="仿宋_GB2312" w:hAnsi="宋体" w:eastAsia="仿宋_GB2312" w:cs="仿宋_GB2312"/>
                <w:color w:val="auto"/>
                <w:sz w:val="24"/>
                <w:szCs w:val="24"/>
                <w:lang w:val="en-US" w:eastAsia="zh-CN"/>
              </w:rPr>
              <w:t>2</w:t>
            </w:r>
          </w:p>
        </w:tc>
        <w:tc>
          <w:tcPr>
            <w:tcW w:w="1042" w:type="dxa"/>
            <w:tcBorders>
              <w:tl2br w:val="nil"/>
              <w:tr2bl w:val="nil"/>
            </w:tcBorders>
            <w:vAlign w:val="center"/>
          </w:tcPr>
          <w:p>
            <w:pPr>
              <w:keepNext w:val="0"/>
              <w:keepLines w:val="0"/>
              <w:pageBreakBefore w:val="0"/>
              <w:widowControl w:val="0"/>
              <w:tabs>
                <w:tab w:val="left" w:pos="793"/>
              </w:tabs>
              <w:kinsoku/>
              <w:wordWrap/>
              <w:overflowPunct/>
              <w:topLinePunct w:val="0"/>
              <w:autoSpaceDE/>
              <w:autoSpaceDN/>
              <w:bidi w:val="0"/>
              <w:adjustRightInd/>
              <w:snapToGrid/>
              <w:spacing w:line="400" w:lineRule="exact"/>
              <w:ind w:right="-31" w:rightChars="-15"/>
              <w:jc w:val="center"/>
              <w:textAlignment w:val="auto"/>
              <w:rPr>
                <w:rFonts w:ascii="仿宋_GB2312" w:hAnsi="宋体" w:eastAsia="仿宋_GB2312" w:cs="仿宋_GB2312"/>
                <w:sz w:val="24"/>
                <w:szCs w:val="24"/>
              </w:rPr>
            </w:pPr>
            <w:r>
              <w:rPr>
                <w:rFonts w:hint="eastAsia" w:ascii="仿宋_GB2312" w:hAnsi="宋体" w:eastAsia="仿宋_GB2312" w:cs="仿宋_GB2312"/>
                <w:color w:val="auto"/>
                <w:sz w:val="24"/>
                <w:szCs w:val="24"/>
              </w:rPr>
              <w:t>1</w:t>
            </w:r>
          </w:p>
        </w:tc>
      </w:tr>
      <w:tr>
        <w:tblPrEx>
          <w:tblBorders>
            <w:top w:val="single" w:color="595959" w:sz="8" w:space="0"/>
            <w:left w:val="none" w:color="auto" w:sz="0" w:space="0"/>
            <w:bottom w:val="single" w:color="595959" w:sz="8" w:space="0"/>
            <w:right w:val="none" w:color="auto" w:sz="0" w:space="0"/>
            <w:insideH w:val="single" w:color="595959" w:sz="4" w:space="0"/>
            <w:insideV w:val="single" w:color="595959" w:sz="4" w:space="0"/>
          </w:tblBorders>
          <w:tblCellMar>
            <w:top w:w="0" w:type="dxa"/>
            <w:left w:w="108" w:type="dxa"/>
            <w:bottom w:w="0" w:type="dxa"/>
            <w:right w:w="108" w:type="dxa"/>
          </w:tblCellMar>
        </w:tblPrEx>
        <w:trPr>
          <w:trHeight w:val="582" w:hRule="atLeast"/>
          <w:jc w:val="center"/>
        </w:trPr>
        <w:tc>
          <w:tcPr>
            <w:tcW w:w="717" w:type="dxa"/>
            <w:tcBorders>
              <w:tl2br w:val="nil"/>
              <w:tr2bl w:val="nil"/>
            </w:tcBorders>
            <w:vAlign w:val="center"/>
          </w:tcPr>
          <w:p>
            <w:pPr>
              <w:tabs>
                <w:tab w:val="left" w:pos="714"/>
              </w:tabs>
              <w:spacing w:line="520" w:lineRule="exact"/>
              <w:jc w:val="center"/>
              <w:rPr>
                <w:rFonts w:ascii="宋体" w:hAnsi="宋体" w:cs="宋体"/>
                <w:sz w:val="24"/>
                <w:szCs w:val="24"/>
              </w:rPr>
            </w:pPr>
            <w:r>
              <w:rPr>
                <w:rFonts w:ascii="宋体" w:hAnsi="宋体" w:cs="宋体"/>
                <w:sz w:val="24"/>
                <w:szCs w:val="24"/>
              </w:rPr>
              <w:t>4</w:t>
            </w:r>
          </w:p>
        </w:tc>
        <w:tc>
          <w:tcPr>
            <w:tcW w:w="4899"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left"/>
              <w:textAlignment w:val="auto"/>
              <w:rPr>
                <w:rFonts w:hint="eastAsia" w:ascii="仿宋_GB2312" w:hAnsi="宋体" w:eastAsia="仿宋_GB2312" w:cs="Times New Roman"/>
                <w:sz w:val="24"/>
                <w:szCs w:val="24"/>
                <w:lang w:eastAsia="zh-CN"/>
              </w:rPr>
            </w:pPr>
            <w:r>
              <w:rPr>
                <w:rFonts w:hint="eastAsia" w:ascii="仿宋_GB2312" w:hAnsi="宋体" w:eastAsia="仿宋_GB2312" w:cs="仿宋_GB2312"/>
                <w:color w:val="auto"/>
                <w:sz w:val="24"/>
                <w:szCs w:val="24"/>
              </w:rPr>
              <w:t>每万</w:t>
            </w:r>
            <w:r>
              <w:rPr>
                <w:rFonts w:hint="eastAsia" w:ascii="仿宋_GB2312" w:hAnsi="宋体" w:eastAsia="仿宋_GB2312" w:cs="仿宋_GB2312"/>
                <w:color w:val="auto"/>
                <w:sz w:val="24"/>
                <w:szCs w:val="24"/>
                <w:lang w:eastAsia="zh-CN"/>
              </w:rPr>
              <w:t>人口</w:t>
            </w:r>
            <w:r>
              <w:rPr>
                <w:rFonts w:hint="eastAsia" w:ascii="仿宋_GB2312" w:hAnsi="宋体" w:eastAsia="仿宋_GB2312" w:cs="仿宋_GB2312"/>
                <w:color w:val="auto"/>
                <w:sz w:val="24"/>
                <w:szCs w:val="24"/>
              </w:rPr>
              <w:t>高价值发明专利拥有量</w:t>
            </w:r>
            <w:r>
              <w:rPr>
                <w:rFonts w:hint="eastAsia" w:ascii="仿宋_GB2312" w:hAnsi="宋体" w:eastAsia="仿宋_GB2312" w:cs="仿宋_GB2312"/>
                <w:color w:val="auto"/>
                <w:sz w:val="24"/>
                <w:szCs w:val="24"/>
                <w:lang w:eastAsia="zh-CN"/>
              </w:rPr>
              <w:t>（</w:t>
            </w:r>
            <w:r>
              <w:rPr>
                <w:rFonts w:hint="eastAsia" w:ascii="仿宋_GB2312" w:hAnsi="宋体" w:eastAsia="仿宋_GB2312" w:cs="仿宋_GB2312"/>
                <w:color w:val="auto"/>
                <w:sz w:val="24"/>
                <w:szCs w:val="24"/>
              </w:rPr>
              <w:t>件</w:t>
            </w:r>
            <w:r>
              <w:rPr>
                <w:rFonts w:hint="eastAsia" w:ascii="仿宋_GB2312" w:hAnsi="宋体" w:eastAsia="仿宋_GB2312" w:cs="仿宋_GB2312"/>
                <w:color w:val="auto"/>
                <w:sz w:val="24"/>
                <w:szCs w:val="24"/>
                <w:lang w:eastAsia="zh-CN"/>
              </w:rPr>
              <w:t>）</w:t>
            </w:r>
          </w:p>
        </w:tc>
        <w:tc>
          <w:tcPr>
            <w:tcW w:w="894"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center"/>
              <w:textAlignment w:val="auto"/>
              <w:rPr>
                <w:rFonts w:ascii="仿宋_GB2312" w:hAnsi="宋体" w:eastAsia="仿宋_GB2312" w:cs="仿宋_GB2312"/>
                <w:sz w:val="24"/>
                <w:szCs w:val="24"/>
              </w:rPr>
            </w:pPr>
            <w:r>
              <w:rPr>
                <w:rFonts w:hint="eastAsia" w:ascii="仿宋_GB2312" w:hAnsi="宋体" w:eastAsia="仿宋_GB2312" w:cs="仿宋_GB2312"/>
                <w:color w:val="auto"/>
                <w:sz w:val="24"/>
                <w:szCs w:val="24"/>
              </w:rPr>
              <w:t>0.</w:t>
            </w:r>
            <w:r>
              <w:rPr>
                <w:rFonts w:hint="eastAsia" w:ascii="仿宋_GB2312" w:hAnsi="宋体" w:eastAsia="仿宋_GB2312" w:cs="仿宋_GB2312"/>
                <w:color w:val="auto"/>
                <w:sz w:val="24"/>
                <w:szCs w:val="24"/>
                <w:lang w:val="en-US" w:eastAsia="zh-CN"/>
              </w:rPr>
              <w:t>40</w:t>
            </w:r>
          </w:p>
        </w:tc>
        <w:tc>
          <w:tcPr>
            <w:tcW w:w="1042"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ind w:right="-31" w:rightChars="-15"/>
              <w:jc w:val="center"/>
              <w:textAlignment w:val="auto"/>
              <w:rPr>
                <w:rFonts w:ascii="仿宋_GB2312" w:hAnsi="宋体" w:eastAsia="仿宋_GB2312" w:cs="仿宋_GB2312"/>
                <w:sz w:val="24"/>
                <w:szCs w:val="24"/>
              </w:rPr>
            </w:pPr>
            <w:r>
              <w:rPr>
                <w:rFonts w:hint="eastAsia" w:ascii="仿宋_GB2312" w:hAnsi="宋体" w:eastAsia="仿宋_GB2312" w:cs="仿宋_GB2312"/>
                <w:color w:val="auto"/>
                <w:sz w:val="24"/>
                <w:szCs w:val="24"/>
              </w:rPr>
              <w:t>0.78</w:t>
            </w:r>
          </w:p>
        </w:tc>
      </w:tr>
      <w:tr>
        <w:tblPrEx>
          <w:tblBorders>
            <w:top w:val="single" w:color="595959" w:sz="8" w:space="0"/>
            <w:left w:val="none" w:color="auto" w:sz="0" w:space="0"/>
            <w:bottom w:val="single" w:color="595959" w:sz="8" w:space="0"/>
            <w:right w:val="none" w:color="auto" w:sz="0" w:space="0"/>
            <w:insideH w:val="single" w:color="595959" w:sz="4" w:space="0"/>
            <w:insideV w:val="single" w:color="595959" w:sz="4" w:space="0"/>
          </w:tblBorders>
          <w:tblCellMar>
            <w:top w:w="0" w:type="dxa"/>
            <w:left w:w="108" w:type="dxa"/>
            <w:bottom w:w="0" w:type="dxa"/>
            <w:right w:w="108" w:type="dxa"/>
          </w:tblCellMar>
        </w:tblPrEx>
        <w:trPr>
          <w:trHeight w:val="582" w:hRule="atLeast"/>
          <w:jc w:val="center"/>
        </w:trPr>
        <w:tc>
          <w:tcPr>
            <w:tcW w:w="717" w:type="dxa"/>
            <w:tcBorders>
              <w:tl2br w:val="nil"/>
              <w:tr2bl w:val="nil"/>
            </w:tcBorders>
            <w:vAlign w:val="center"/>
          </w:tcPr>
          <w:p>
            <w:pPr>
              <w:tabs>
                <w:tab w:val="left" w:pos="714"/>
              </w:tabs>
              <w:spacing w:line="520" w:lineRule="exact"/>
              <w:jc w:val="center"/>
              <w:rPr>
                <w:rFonts w:ascii="宋体" w:hAnsi="宋体" w:cs="宋体"/>
                <w:sz w:val="24"/>
                <w:szCs w:val="24"/>
              </w:rPr>
            </w:pPr>
            <w:r>
              <w:rPr>
                <w:rFonts w:hint="eastAsia" w:ascii="宋体" w:hAnsi="宋体" w:cs="宋体"/>
                <w:sz w:val="24"/>
                <w:szCs w:val="24"/>
              </w:rPr>
              <w:t>5</w:t>
            </w:r>
          </w:p>
        </w:tc>
        <w:tc>
          <w:tcPr>
            <w:tcW w:w="4899"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both"/>
              <w:textAlignment w:val="auto"/>
              <w:rPr>
                <w:rFonts w:hint="eastAsia" w:ascii="仿宋_GB2312" w:hAnsi="宋体" w:eastAsia="仿宋_GB2312" w:cs="仿宋_GB2312"/>
                <w:sz w:val="24"/>
                <w:szCs w:val="24"/>
                <w:lang w:eastAsia="zh-CN"/>
              </w:rPr>
            </w:pPr>
            <w:r>
              <w:rPr>
                <w:rFonts w:hint="eastAsia" w:ascii="仿宋_GB2312" w:hAnsi="宋体" w:eastAsia="仿宋_GB2312" w:cs="仿宋_GB2312"/>
                <w:color w:val="auto"/>
                <w:sz w:val="24"/>
                <w:szCs w:val="24"/>
              </w:rPr>
              <w:t>每万企业中高新技术企业数</w:t>
            </w:r>
            <w:r>
              <w:rPr>
                <w:rFonts w:hint="eastAsia" w:ascii="仿宋_GB2312" w:hAnsi="宋体" w:eastAsia="仿宋_GB2312" w:cs="仿宋_GB2312"/>
                <w:color w:val="auto"/>
                <w:sz w:val="24"/>
                <w:szCs w:val="24"/>
                <w:lang w:eastAsia="zh-CN"/>
              </w:rPr>
              <w:t>（</w:t>
            </w:r>
            <w:r>
              <w:rPr>
                <w:rFonts w:hint="eastAsia" w:ascii="仿宋_GB2312" w:hAnsi="宋体" w:eastAsia="仿宋_GB2312" w:cs="仿宋_GB2312"/>
                <w:color w:val="auto"/>
                <w:sz w:val="24"/>
                <w:szCs w:val="24"/>
              </w:rPr>
              <w:t>家</w:t>
            </w:r>
            <w:r>
              <w:rPr>
                <w:rFonts w:hint="eastAsia" w:ascii="仿宋_GB2312" w:hAnsi="宋体" w:eastAsia="仿宋_GB2312" w:cs="仿宋_GB2312"/>
                <w:color w:val="auto"/>
                <w:sz w:val="24"/>
                <w:szCs w:val="24"/>
                <w:lang w:eastAsia="zh-CN"/>
              </w:rPr>
              <w:t>）</w:t>
            </w:r>
          </w:p>
        </w:tc>
        <w:tc>
          <w:tcPr>
            <w:tcW w:w="894"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center"/>
              <w:textAlignment w:val="auto"/>
              <w:rPr>
                <w:rFonts w:ascii="仿宋_GB2312" w:hAnsi="宋体" w:eastAsia="仿宋_GB2312" w:cs="仿宋_GB2312"/>
                <w:sz w:val="24"/>
                <w:szCs w:val="24"/>
              </w:rPr>
            </w:pPr>
            <w:r>
              <w:rPr>
                <w:rFonts w:hint="eastAsia" w:ascii="仿宋_GB2312" w:hAnsi="宋体" w:eastAsia="仿宋_GB2312" w:cs="仿宋_GB2312"/>
                <w:color w:val="auto"/>
                <w:sz w:val="24"/>
                <w:szCs w:val="24"/>
                <w:lang w:val="en-US" w:eastAsia="zh-CN"/>
              </w:rPr>
              <w:t>24.5</w:t>
            </w:r>
          </w:p>
        </w:tc>
        <w:tc>
          <w:tcPr>
            <w:tcW w:w="1042"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ind w:right="-31" w:rightChars="-15"/>
              <w:jc w:val="center"/>
              <w:textAlignment w:val="auto"/>
              <w:rPr>
                <w:rFonts w:ascii="仿宋_GB2312" w:hAnsi="宋体" w:eastAsia="仿宋_GB2312" w:cs="仿宋_GB2312"/>
                <w:sz w:val="24"/>
                <w:szCs w:val="24"/>
              </w:rPr>
            </w:pPr>
            <w:r>
              <w:rPr>
                <w:rFonts w:hint="eastAsia" w:ascii="仿宋_GB2312" w:hAnsi="宋体" w:eastAsia="仿宋_GB2312" w:cs="仿宋_GB2312"/>
                <w:color w:val="auto"/>
                <w:sz w:val="24"/>
                <w:szCs w:val="24"/>
              </w:rPr>
              <w:t>40</w:t>
            </w:r>
          </w:p>
        </w:tc>
      </w:tr>
      <w:tr>
        <w:tblPrEx>
          <w:tblBorders>
            <w:top w:val="single" w:color="595959" w:sz="8" w:space="0"/>
            <w:left w:val="none" w:color="auto" w:sz="0" w:space="0"/>
            <w:bottom w:val="single" w:color="595959" w:sz="8" w:space="0"/>
            <w:right w:val="none" w:color="auto" w:sz="0" w:space="0"/>
            <w:insideH w:val="single" w:color="595959" w:sz="4" w:space="0"/>
            <w:insideV w:val="single" w:color="595959" w:sz="4" w:space="0"/>
          </w:tblBorders>
          <w:tblCellMar>
            <w:top w:w="0" w:type="dxa"/>
            <w:left w:w="108" w:type="dxa"/>
            <w:bottom w:w="0" w:type="dxa"/>
            <w:right w:w="108" w:type="dxa"/>
          </w:tblCellMar>
        </w:tblPrEx>
        <w:trPr>
          <w:trHeight w:val="582" w:hRule="atLeast"/>
          <w:jc w:val="center"/>
        </w:trPr>
        <w:tc>
          <w:tcPr>
            <w:tcW w:w="717" w:type="dxa"/>
            <w:tcBorders>
              <w:tl2br w:val="nil"/>
              <w:tr2bl w:val="nil"/>
            </w:tcBorders>
            <w:vAlign w:val="center"/>
          </w:tcPr>
          <w:p>
            <w:pPr>
              <w:tabs>
                <w:tab w:val="left" w:pos="714"/>
              </w:tabs>
              <w:spacing w:line="520" w:lineRule="exact"/>
              <w:jc w:val="center"/>
              <w:rPr>
                <w:rFonts w:ascii="宋体" w:hAnsi="宋体" w:cs="宋体"/>
                <w:sz w:val="24"/>
                <w:szCs w:val="24"/>
              </w:rPr>
            </w:pPr>
            <w:r>
              <w:rPr>
                <w:rFonts w:hint="eastAsia" w:ascii="宋体" w:hAnsi="宋体" w:cs="宋体"/>
                <w:sz w:val="24"/>
                <w:szCs w:val="24"/>
              </w:rPr>
              <w:t>6</w:t>
            </w:r>
          </w:p>
        </w:tc>
        <w:tc>
          <w:tcPr>
            <w:tcW w:w="4899"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both"/>
              <w:textAlignment w:val="auto"/>
              <w:rPr>
                <w:rFonts w:hint="eastAsia" w:ascii="仿宋_GB2312" w:hAnsi="宋体" w:eastAsia="仿宋_GB2312" w:cs="仿宋_GB2312"/>
                <w:sz w:val="24"/>
                <w:szCs w:val="24"/>
                <w:lang w:val="en-US" w:eastAsia="zh-CN"/>
              </w:rPr>
            </w:pPr>
            <w:r>
              <w:rPr>
                <w:rFonts w:hint="eastAsia" w:ascii="仿宋_GB2312" w:hAnsi="宋体" w:eastAsia="仿宋_GB2312" w:cs="仿宋_GB2312"/>
                <w:color w:val="auto"/>
                <w:spacing w:val="-17"/>
                <w:sz w:val="24"/>
                <w:szCs w:val="24"/>
              </w:rPr>
              <w:t>数字经济核心产业增加值占地区生产总值比重</w:t>
            </w:r>
            <w:r>
              <w:rPr>
                <w:rFonts w:hint="eastAsia" w:ascii="仿宋_GB2312" w:hAnsi="宋体" w:eastAsia="仿宋_GB2312" w:cs="仿宋_GB2312"/>
                <w:color w:val="auto"/>
                <w:spacing w:val="-17"/>
                <w:sz w:val="24"/>
                <w:szCs w:val="24"/>
                <w:lang w:eastAsia="zh-CN"/>
              </w:rPr>
              <w:t>（</w:t>
            </w:r>
            <w:r>
              <w:rPr>
                <w:rFonts w:hint="eastAsia" w:ascii="仿宋_GB2312" w:hAnsi="宋体" w:eastAsia="仿宋_GB2312" w:cs="仿宋_GB2312"/>
                <w:color w:val="auto"/>
                <w:sz w:val="24"/>
                <w:szCs w:val="24"/>
              </w:rPr>
              <w:t>%</w:t>
            </w:r>
            <w:r>
              <w:rPr>
                <w:rFonts w:hint="eastAsia" w:ascii="仿宋_GB2312" w:hAnsi="宋体" w:eastAsia="仿宋_GB2312" w:cs="仿宋_GB2312"/>
                <w:color w:val="auto"/>
                <w:spacing w:val="-17"/>
                <w:sz w:val="24"/>
                <w:szCs w:val="24"/>
                <w:lang w:eastAsia="zh-CN"/>
              </w:rPr>
              <w:t>）</w:t>
            </w:r>
          </w:p>
        </w:tc>
        <w:tc>
          <w:tcPr>
            <w:tcW w:w="894"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center"/>
              <w:textAlignment w:val="auto"/>
              <w:rPr>
                <w:rFonts w:ascii="仿宋_GB2312" w:hAnsi="宋体" w:eastAsia="仿宋_GB2312" w:cs="仿宋_GB2312"/>
                <w:sz w:val="24"/>
                <w:szCs w:val="24"/>
              </w:rPr>
            </w:pPr>
            <w:r>
              <w:rPr>
                <w:rFonts w:hint="eastAsia" w:ascii="仿宋_GB2312" w:hAnsi="宋体" w:eastAsia="仿宋_GB2312" w:cs="仿宋_GB2312"/>
                <w:color w:val="auto"/>
                <w:sz w:val="24"/>
                <w:szCs w:val="24"/>
              </w:rPr>
              <w:t>1</w:t>
            </w:r>
          </w:p>
        </w:tc>
        <w:tc>
          <w:tcPr>
            <w:tcW w:w="1042" w:type="dxa"/>
            <w:tcBorders>
              <w:tl2br w:val="nil"/>
              <w:tr2bl w:val="nil"/>
            </w:tcBorders>
            <w:vAlign w:val="center"/>
          </w:tcPr>
          <w:p>
            <w:pPr>
              <w:keepNext w:val="0"/>
              <w:keepLines w:val="0"/>
              <w:pageBreakBefore w:val="0"/>
              <w:widowControl w:val="0"/>
              <w:tabs>
                <w:tab w:val="left" w:pos="793"/>
              </w:tabs>
              <w:kinsoku/>
              <w:wordWrap/>
              <w:overflowPunct/>
              <w:topLinePunct w:val="0"/>
              <w:autoSpaceDE/>
              <w:autoSpaceDN/>
              <w:bidi w:val="0"/>
              <w:adjustRightInd/>
              <w:snapToGrid/>
              <w:spacing w:line="400" w:lineRule="exact"/>
              <w:ind w:right="-31" w:rightChars="-15"/>
              <w:jc w:val="center"/>
              <w:textAlignment w:val="auto"/>
              <w:rPr>
                <w:rFonts w:ascii="仿宋_GB2312" w:hAnsi="宋体" w:eastAsia="仿宋_GB2312" w:cs="仿宋_GB2312"/>
                <w:sz w:val="24"/>
                <w:szCs w:val="24"/>
              </w:rPr>
            </w:pPr>
            <w:r>
              <w:rPr>
                <w:rFonts w:hint="eastAsia" w:ascii="仿宋_GB2312" w:hAnsi="宋体" w:eastAsia="仿宋_GB2312" w:cs="仿宋_GB2312"/>
                <w:color w:val="auto"/>
                <w:sz w:val="24"/>
                <w:szCs w:val="24"/>
              </w:rPr>
              <w:t>1.5</w:t>
            </w:r>
          </w:p>
        </w:tc>
      </w:tr>
      <w:tr>
        <w:tblPrEx>
          <w:tblBorders>
            <w:top w:val="single" w:color="595959" w:sz="8" w:space="0"/>
            <w:left w:val="none" w:color="auto" w:sz="0" w:space="0"/>
            <w:bottom w:val="single" w:color="595959" w:sz="8" w:space="0"/>
            <w:right w:val="none" w:color="auto" w:sz="0" w:space="0"/>
            <w:insideH w:val="single" w:color="595959" w:sz="4" w:space="0"/>
            <w:insideV w:val="single" w:color="595959" w:sz="4" w:space="0"/>
          </w:tblBorders>
          <w:tblCellMar>
            <w:top w:w="0" w:type="dxa"/>
            <w:left w:w="108" w:type="dxa"/>
            <w:bottom w:w="0" w:type="dxa"/>
            <w:right w:w="108" w:type="dxa"/>
          </w:tblCellMar>
        </w:tblPrEx>
        <w:trPr>
          <w:trHeight w:val="582" w:hRule="atLeast"/>
          <w:jc w:val="center"/>
        </w:trPr>
        <w:tc>
          <w:tcPr>
            <w:tcW w:w="717" w:type="dxa"/>
            <w:tcBorders>
              <w:tl2br w:val="nil"/>
              <w:tr2bl w:val="nil"/>
            </w:tcBorders>
            <w:vAlign w:val="center"/>
          </w:tcPr>
          <w:p>
            <w:pPr>
              <w:tabs>
                <w:tab w:val="left" w:pos="714"/>
              </w:tabs>
              <w:spacing w:line="520" w:lineRule="exact"/>
              <w:jc w:val="center"/>
              <w:rPr>
                <w:rFonts w:ascii="宋体" w:hAnsi="宋体" w:cs="宋体"/>
                <w:sz w:val="24"/>
                <w:szCs w:val="24"/>
              </w:rPr>
            </w:pPr>
            <w:r>
              <w:rPr>
                <w:rFonts w:hint="eastAsia" w:ascii="宋体" w:hAnsi="宋体" w:cs="宋体"/>
                <w:sz w:val="24"/>
                <w:szCs w:val="24"/>
              </w:rPr>
              <w:t>7</w:t>
            </w:r>
          </w:p>
        </w:tc>
        <w:tc>
          <w:tcPr>
            <w:tcW w:w="4899"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both"/>
              <w:textAlignment w:val="auto"/>
              <w:rPr>
                <w:rFonts w:hint="eastAsia" w:ascii="仿宋_GB2312" w:hAnsi="宋体" w:eastAsia="仿宋_GB2312" w:cs="Times New Roman"/>
                <w:sz w:val="24"/>
                <w:szCs w:val="24"/>
                <w:lang w:eastAsia="zh-CN"/>
              </w:rPr>
            </w:pPr>
            <w:r>
              <w:rPr>
                <w:rFonts w:ascii="仿宋_GB2312" w:hAnsi="宋体" w:eastAsia="仿宋_GB2312" w:cs="仿宋_GB2312"/>
                <w:color w:val="auto"/>
                <w:spacing w:val="-17"/>
                <w:sz w:val="24"/>
                <w:szCs w:val="24"/>
              </w:rPr>
              <w:t>规模以上工业企业研发经费支出与营业收</w:t>
            </w:r>
            <w:r>
              <w:rPr>
                <w:rFonts w:hint="eastAsia" w:ascii="仿宋_GB2312" w:hAnsi="宋体" w:eastAsia="仿宋_GB2312" w:cs="仿宋_GB2312"/>
                <w:color w:val="auto"/>
                <w:spacing w:val="-17"/>
                <w:sz w:val="24"/>
                <w:szCs w:val="24"/>
                <w:lang w:eastAsia="zh-CN"/>
              </w:rPr>
              <w:t>入</w:t>
            </w:r>
            <w:r>
              <w:rPr>
                <w:rFonts w:ascii="仿宋_GB2312" w:hAnsi="宋体" w:eastAsia="仿宋_GB2312" w:cs="仿宋_GB2312"/>
                <w:color w:val="auto"/>
                <w:spacing w:val="-17"/>
                <w:sz w:val="24"/>
                <w:szCs w:val="24"/>
              </w:rPr>
              <w:t>之比</w:t>
            </w:r>
            <w:r>
              <w:rPr>
                <w:rFonts w:hint="eastAsia" w:ascii="仿宋_GB2312" w:hAnsi="宋体" w:eastAsia="仿宋_GB2312" w:cs="仿宋_GB2312"/>
                <w:color w:val="auto"/>
                <w:spacing w:val="-17"/>
                <w:sz w:val="24"/>
                <w:szCs w:val="24"/>
                <w:lang w:eastAsia="zh-CN"/>
              </w:rPr>
              <w:t>（</w:t>
            </w:r>
            <w:r>
              <w:rPr>
                <w:rFonts w:hint="eastAsia" w:ascii="仿宋_GB2312" w:hAnsi="宋体" w:eastAsia="仿宋_GB2312" w:cs="仿宋_GB2312"/>
                <w:color w:val="auto"/>
                <w:sz w:val="24"/>
                <w:szCs w:val="24"/>
              </w:rPr>
              <w:t>%</w:t>
            </w:r>
            <w:r>
              <w:rPr>
                <w:rFonts w:hint="eastAsia" w:ascii="仿宋_GB2312" w:hAnsi="宋体" w:eastAsia="仿宋_GB2312" w:cs="仿宋_GB2312"/>
                <w:color w:val="auto"/>
                <w:spacing w:val="-17"/>
                <w:sz w:val="24"/>
                <w:szCs w:val="24"/>
                <w:lang w:eastAsia="zh-CN"/>
              </w:rPr>
              <w:t>）</w:t>
            </w:r>
          </w:p>
        </w:tc>
        <w:tc>
          <w:tcPr>
            <w:tcW w:w="894" w:type="dxa"/>
            <w:tcBorders>
              <w:tl2br w:val="nil"/>
              <w:tr2bl w:val="nil"/>
            </w:tcBorders>
            <w:vAlign w:val="center"/>
          </w:tcPr>
          <w:p>
            <w:pPr>
              <w:keepNext w:val="0"/>
              <w:keepLines w:val="0"/>
              <w:pageBreakBefore w:val="0"/>
              <w:widowControl w:val="0"/>
              <w:tabs>
                <w:tab w:val="left" w:pos="714"/>
              </w:tabs>
              <w:kinsoku/>
              <w:wordWrap/>
              <w:overflowPunct/>
              <w:topLinePunct w:val="0"/>
              <w:autoSpaceDE/>
              <w:autoSpaceDN/>
              <w:bidi w:val="0"/>
              <w:adjustRightInd/>
              <w:snapToGrid/>
              <w:spacing w:line="400" w:lineRule="exact"/>
              <w:jc w:val="center"/>
              <w:textAlignment w:val="auto"/>
              <w:rPr>
                <w:rFonts w:hint="default" w:ascii="仿宋_GB2312" w:hAnsi="宋体" w:eastAsia="仿宋_GB2312" w:cs="仿宋_GB2312"/>
                <w:sz w:val="24"/>
                <w:szCs w:val="24"/>
                <w:lang w:val="en-US" w:eastAsia="zh-CN"/>
              </w:rPr>
            </w:pPr>
            <w:r>
              <w:rPr>
                <w:rFonts w:hint="eastAsia" w:ascii="仿宋_GB2312" w:hAnsi="宋体" w:eastAsia="仿宋_GB2312" w:cs="仿宋_GB2312"/>
                <w:color w:val="auto"/>
                <w:sz w:val="24"/>
                <w:szCs w:val="24"/>
                <w:lang w:val="en-US" w:eastAsia="zh-CN"/>
              </w:rPr>
              <w:t>0.51</w:t>
            </w:r>
          </w:p>
        </w:tc>
        <w:tc>
          <w:tcPr>
            <w:tcW w:w="1042" w:type="dxa"/>
            <w:tcBorders>
              <w:tl2br w:val="nil"/>
              <w:tr2bl w:val="nil"/>
            </w:tcBorders>
            <w:vAlign w:val="center"/>
          </w:tcPr>
          <w:p>
            <w:pPr>
              <w:keepNext w:val="0"/>
              <w:keepLines w:val="0"/>
              <w:pageBreakBefore w:val="0"/>
              <w:widowControl w:val="0"/>
              <w:tabs>
                <w:tab w:val="left" w:pos="793"/>
              </w:tabs>
              <w:kinsoku/>
              <w:wordWrap/>
              <w:overflowPunct/>
              <w:topLinePunct w:val="0"/>
              <w:autoSpaceDE/>
              <w:autoSpaceDN/>
              <w:bidi w:val="0"/>
              <w:adjustRightInd/>
              <w:snapToGrid/>
              <w:spacing w:line="400" w:lineRule="exact"/>
              <w:ind w:right="-31" w:rightChars="-15"/>
              <w:jc w:val="center"/>
              <w:textAlignment w:val="auto"/>
              <w:rPr>
                <w:rFonts w:ascii="仿宋_GB2312" w:hAnsi="宋体" w:eastAsia="仿宋_GB2312" w:cs="仿宋_GB2312"/>
                <w:sz w:val="24"/>
                <w:szCs w:val="24"/>
              </w:rPr>
            </w:pPr>
            <w:r>
              <w:rPr>
                <w:rFonts w:hint="eastAsia" w:ascii="仿宋_GB2312" w:hAnsi="宋体" w:eastAsia="仿宋_GB2312" w:cs="仿宋_GB2312"/>
                <w:color w:val="auto"/>
                <w:sz w:val="24"/>
                <w:szCs w:val="24"/>
              </w:rPr>
              <w:t>0.90</w:t>
            </w:r>
          </w:p>
        </w:tc>
      </w:tr>
    </w:tbl>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黑体" w:hAnsi="黑体" w:eastAsia="黑体" w:cs="黑体"/>
          <w:sz w:val="30"/>
          <w:szCs w:val="30"/>
        </w:rPr>
      </w:pPr>
      <w:bookmarkStart w:id="17" w:name="_Toc3735"/>
      <w:r>
        <w:rPr>
          <w:rFonts w:hint="eastAsia" w:ascii="黑体" w:hAnsi="黑体" w:eastAsia="黑体" w:cs="黑体"/>
          <w:sz w:val="30"/>
          <w:szCs w:val="30"/>
        </w:rPr>
        <w:t>第四节  系统谋划新局</w:t>
      </w:r>
      <w:bookmarkEnd w:id="16"/>
      <w:bookmarkEnd w:id="17"/>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补齐短板，破解难题。</w:t>
      </w:r>
      <w:r>
        <w:rPr>
          <w:rFonts w:hint="eastAsia" w:asciiTheme="minorEastAsia" w:hAnsiTheme="minorEastAsia" w:cstheme="minorEastAsia"/>
          <w:sz w:val="28"/>
          <w:szCs w:val="28"/>
        </w:rPr>
        <w:t>采取“非对称”赶超战略，发挥巴彦淖尔优势，在粮油、果蔬、中(蒙)药材、乳肉绒、饲草、生物质能等领域进行补短板研发，突出解决好种子和耕地质量提升技术攻关，改变六大产业高质量发展受制于种业卡脖子难题的被动局面。</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b/>
          <w:sz w:val="28"/>
          <w:szCs w:val="28"/>
        </w:rPr>
        <w:t>促进应用基础研究与成果转化双循环。</w:t>
      </w:r>
      <w:r>
        <w:rPr>
          <w:rFonts w:hint="eastAsia" w:asciiTheme="minorEastAsia" w:hAnsiTheme="minorEastAsia" w:cstheme="minorEastAsia"/>
          <w:sz w:val="28"/>
          <w:szCs w:val="28"/>
        </w:rPr>
        <w:t>强化应用导向和产学研协同创新，实现前沿关键技术战略卡位，形成产业瓶颈攻坚牵引重大创新成果、更多创新成果支撑瓶颈问题解决的良性循环。</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b/>
          <w:sz w:val="28"/>
          <w:szCs w:val="28"/>
        </w:rPr>
        <w:t>增进产业链创新链双围绕。</w:t>
      </w:r>
      <w:r>
        <w:rPr>
          <w:rFonts w:hint="eastAsia" w:asciiTheme="minorEastAsia" w:hAnsiTheme="minorEastAsia" w:cstheme="minorEastAsia"/>
          <w:sz w:val="28"/>
          <w:szCs w:val="28"/>
        </w:rPr>
        <w:t>围绕创新链布局产业链攻坚，重点支撑六大产业链补短锻长，前瞻布局数字经济、生命科学、清洁能源等新兴领域，多路径保障产业上下游技术持续推进。</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softHyphen/>
      </w:r>
      <w:r>
        <w:rPr>
          <w:rFonts w:hint="eastAsia" w:asciiTheme="minorEastAsia" w:hAnsiTheme="minorEastAsia" w:cstheme="minorEastAsia"/>
          <w:sz w:val="28"/>
          <w:szCs w:val="28"/>
        </w:rPr>
        <w:softHyphen/>
      </w:r>
      <w:r>
        <w:rPr>
          <w:rFonts w:hint="eastAsia" w:asciiTheme="minorEastAsia" w:hAnsiTheme="minorEastAsia" w:cstheme="minorEastAsia"/>
          <w:sz w:val="28"/>
          <w:szCs w:val="28"/>
        </w:rPr>
        <w:t>——</w:t>
      </w:r>
      <w:r>
        <w:rPr>
          <w:rFonts w:hint="eastAsia" w:asciiTheme="minorEastAsia" w:hAnsiTheme="minorEastAsia" w:cstheme="minorEastAsia"/>
          <w:b/>
          <w:sz w:val="28"/>
          <w:szCs w:val="28"/>
        </w:rPr>
        <w:t>强化“短平快”与“长期支持”双驱动。</w:t>
      </w:r>
      <w:r>
        <w:rPr>
          <w:rFonts w:hint="eastAsia" w:asciiTheme="minorEastAsia" w:hAnsiTheme="minorEastAsia" w:cstheme="minorEastAsia"/>
          <w:sz w:val="28"/>
          <w:szCs w:val="28"/>
        </w:rPr>
        <w:t>支持目标导向，围绕紧迫需求开展短平快研究，同时注重核心技术攻关的长期性特点，引导科研人员稳定预期、潜心研究，给予前沿性重大创新突破长期稳定支持。</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b/>
          <w:sz w:val="28"/>
          <w:szCs w:val="28"/>
        </w:rPr>
        <w:t>厚实战略人才与后备人才双保障。</w:t>
      </w:r>
      <w:r>
        <w:rPr>
          <w:rFonts w:hint="eastAsia" w:asciiTheme="minorEastAsia" w:hAnsiTheme="minorEastAsia" w:cstheme="minorEastAsia"/>
          <w:sz w:val="28"/>
          <w:szCs w:val="28"/>
        </w:rPr>
        <w:t>构建战略科技力量“蓄水池”，培养、引进一批具有战略前瞻能力的创新领军人才、尖端人才和高水平创新团队；加强中青年创新骨干、后备科技人才和实验技术支撑人才队伍建设，优化创新人才结构和梯队结构。</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深度实施“科技兴蒙”行动。</w:t>
      </w:r>
      <w:r>
        <w:rPr>
          <w:rFonts w:hint="eastAsia" w:asciiTheme="minorEastAsia" w:hAnsiTheme="minorEastAsia" w:cstheme="minorEastAsia"/>
          <w:sz w:val="28"/>
          <w:szCs w:val="28"/>
        </w:rPr>
        <w:t>聚焦我市重大产业科技需求，做好“科技兴蒙”行动巴彦淖尔市分阶段部署和专项研究，精准布局“4+8+N”框架下的供需对接。</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b/>
          <w:sz w:val="28"/>
          <w:szCs w:val="28"/>
        </w:rPr>
        <w:t>加快推进国家农业高新技术产业示范区建设。</w:t>
      </w:r>
      <w:r>
        <w:rPr>
          <w:rFonts w:hint="eastAsia" w:asciiTheme="minorEastAsia" w:hAnsiTheme="minorEastAsia" w:cstheme="minorEastAsia"/>
          <w:sz w:val="28"/>
          <w:szCs w:val="28"/>
        </w:rPr>
        <w:t>引领巴彦淖尔链接全球创新资源，打造区域创新源泉，形成自治区现代农牧业转型升级引领区和高质量发展先行区。</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b/>
          <w:sz w:val="28"/>
          <w:szCs w:val="28"/>
        </w:rPr>
        <w:t>打造区域创新高地集群。</w:t>
      </w:r>
      <w:r>
        <w:rPr>
          <w:rFonts w:hint="eastAsia" w:asciiTheme="minorEastAsia" w:hAnsiTheme="minorEastAsia" w:cstheme="minorEastAsia"/>
          <w:sz w:val="28"/>
          <w:szCs w:val="28"/>
        </w:rPr>
        <w:t>重点推进中国农大河套灌区研究院、江南大学技术转移中心巴彦淖尔市分中心、河套灌区地力提升技术应用推广中心等科技合作平台载体建设。</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b/>
          <w:sz w:val="28"/>
          <w:szCs w:val="28"/>
        </w:rPr>
        <w:t>激活科技成果转移转化内生动力。</w:t>
      </w:r>
      <w:r>
        <w:rPr>
          <w:rFonts w:hint="eastAsia" w:asciiTheme="minorEastAsia" w:hAnsiTheme="minorEastAsia" w:cstheme="minorEastAsia"/>
          <w:sz w:val="28"/>
          <w:szCs w:val="28"/>
        </w:rPr>
        <w:t>以“4+8+N”区外合作主体成果转移转化为重点，打造线上线下结合、区市旗县连通的技术转移网络平台，以农高区为龙头建设科技成果转移转化示范区。改革科技成果赋权机制。</w:t>
      </w: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b/>
          <w:sz w:val="28"/>
          <w:szCs w:val="28"/>
        </w:rPr>
        <w:t>培养引进关键领域创新人才团队。</w:t>
      </w:r>
      <w:r>
        <w:rPr>
          <w:rFonts w:hint="eastAsia" w:asciiTheme="minorEastAsia" w:hAnsiTheme="minorEastAsia" w:cstheme="minorEastAsia"/>
          <w:spacing w:val="-6"/>
          <w:sz w:val="28"/>
          <w:szCs w:val="28"/>
        </w:rPr>
        <w:t>有效衔接自治区和我市重大人才工程计划，构建“一心多点”人才工作格局，加大开放灵活引才力度，利用“4+8+N”合作精准引才聚才，推广“人才飞地”“候鸟式聘任”方式，实现“研发在北上广，转化在巴彦淖尔”的高效用才模式</w:t>
      </w:r>
      <w:r>
        <w:rPr>
          <w:rFonts w:hint="eastAsia" w:asciiTheme="minorEastAsia" w:hAnsiTheme="minorEastAsia" w:cstheme="minorEastAsia"/>
          <w:sz w:val="28"/>
          <w:szCs w:val="28"/>
        </w:rPr>
        <w:t>。</w:t>
      </w:r>
    </w:p>
    <w:p>
      <w:pPr>
        <w:pStyle w:val="4"/>
        <w:spacing w:after="156" w:line="400" w:lineRule="exact"/>
        <w:ind w:firstLine="0" w:firstLineChars="0"/>
        <w:jc w:val="center"/>
        <w:rPr>
          <w:rFonts w:ascii="黑体" w:hAnsi="黑体" w:eastAsia="黑体" w:cs="黑体"/>
          <w:b w:val="0"/>
          <w:bCs w:val="0"/>
          <w:sz w:val="32"/>
        </w:rPr>
      </w:pPr>
      <w:bookmarkStart w:id="18" w:name="_Toc30294"/>
      <w:bookmarkStart w:id="19" w:name="_Toc83540932"/>
    </w:p>
    <w:p>
      <w:pPr>
        <w:spacing w:line="520" w:lineRule="exact"/>
        <w:jc w:val="center"/>
        <w:rPr>
          <w:rFonts w:ascii="黑体" w:hAnsi="黑体" w:eastAsia="黑体" w:cs="黑体"/>
          <w:sz w:val="36"/>
          <w:szCs w:val="36"/>
        </w:rPr>
      </w:pPr>
      <w:r>
        <w:rPr>
          <w:rFonts w:hint="eastAsia" w:ascii="黑体" w:hAnsi="黑体" w:eastAsia="黑体" w:cs="黑体"/>
          <w:sz w:val="36"/>
          <w:szCs w:val="36"/>
        </w:rPr>
        <w:t>第二篇  提高自主创新能力，构建高效区域创新体系</w:t>
      </w:r>
      <w:bookmarkEnd w:id="18"/>
      <w:bookmarkEnd w:id="19"/>
    </w:p>
    <w:p>
      <w:pPr>
        <w:spacing w:line="520" w:lineRule="exact"/>
        <w:rPr>
          <w:rFonts w:asciiTheme="minorEastAsia" w:hAnsiTheme="minorEastAsia" w:cstheme="minorEastAsia"/>
          <w:sz w:val="28"/>
          <w:szCs w:val="28"/>
        </w:rPr>
      </w:pP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坚持创新在现代化建设全局中的核心地位，把科技创新作为坚持走以“生态优先、绿色发展”为导向的高质量发展新路子的战略支撑，加速形成原始创新、集成创新和引进消化吸收再创新的协同并进格局，实现创新要素高效配置，创新力量布局合理。</w:t>
      </w:r>
    </w:p>
    <w:p>
      <w:pPr>
        <w:spacing w:line="520" w:lineRule="exact"/>
        <w:rPr>
          <w:rFonts w:asciiTheme="minorEastAsia" w:hAnsiTheme="minorEastAsia" w:cstheme="minorEastAsia"/>
          <w:sz w:val="28"/>
          <w:szCs w:val="28"/>
        </w:rPr>
      </w:pPr>
      <w:bookmarkStart w:id="20" w:name="_Toc83540933"/>
      <w:bookmarkStart w:id="21" w:name="_Toc4328"/>
    </w:p>
    <w:p>
      <w:pPr>
        <w:spacing w:line="520" w:lineRule="exact"/>
        <w:jc w:val="center"/>
        <w:rPr>
          <w:rFonts w:ascii="黑体" w:hAnsi="黑体" w:eastAsia="黑体" w:cs="黑体"/>
          <w:sz w:val="32"/>
          <w:szCs w:val="32"/>
        </w:rPr>
      </w:pPr>
      <w:r>
        <w:rPr>
          <w:rFonts w:hint="eastAsia" w:ascii="黑体" w:hAnsi="黑体" w:eastAsia="黑体" w:cs="黑体"/>
          <w:sz w:val="32"/>
          <w:szCs w:val="32"/>
        </w:rPr>
        <w:t>第三章  提高自主创新能力</w:t>
      </w:r>
      <w:bookmarkEnd w:id="20"/>
      <w:bookmarkEnd w:id="21"/>
    </w:p>
    <w:p>
      <w:pPr>
        <w:spacing w:line="520" w:lineRule="exact"/>
        <w:rPr>
          <w:rFonts w:asciiTheme="minorEastAsia" w:hAnsiTheme="minorEastAsia" w:cstheme="minorEastAsia"/>
          <w:sz w:val="28"/>
          <w:szCs w:val="28"/>
        </w:rPr>
      </w:pPr>
      <w:bookmarkStart w:id="22" w:name="_Toc83540934"/>
      <w:bookmarkStart w:id="23" w:name="_Toc2353"/>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第一节  加强应用基础研究</w:t>
      </w:r>
      <w:bookmarkEnd w:id="22"/>
      <w:bookmarkEnd w:id="23"/>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布局应用基础研究。</w:t>
      </w:r>
      <w:r>
        <w:rPr>
          <w:rFonts w:hint="eastAsia" w:asciiTheme="minorEastAsia" w:hAnsiTheme="minorEastAsia" w:cstheme="minorEastAsia"/>
          <w:sz w:val="28"/>
          <w:szCs w:val="28"/>
        </w:rPr>
        <w:t>改变我市应用基础研究滞后状况。以差异化目标为导向，积极参与自治区基础研究十年行动，着力提升应用研究解决我市经济社会发展重大科技问题的能力。加大应用研究经费投入，提高项目资助强度，开展5-10年长周期稳定支持试点。优化应用研究布局，加强前沿技术研究，在面向我市重大战略需求的应用基础研究领域取得进展，为相关产业链产生自主知识产权提供足够的知识与技术储备。</w:t>
      </w:r>
    </w:p>
    <w:p>
      <w:pPr>
        <w:spacing w:line="520" w:lineRule="exact"/>
        <w:ind w:firstLine="560" w:firstLineChars="200"/>
        <w:rPr>
          <w:rFonts w:asciiTheme="minorEastAsia" w:hAnsiTheme="minorEastAsia" w:cstheme="minorEastAsia"/>
          <w:sz w:val="28"/>
          <w:szCs w:val="28"/>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8522" w:type="dxa"/>
          </w:tcPr>
          <w:p>
            <w:pPr>
              <w:spacing w:beforeLines="50" w:afterLines="50" w:line="520" w:lineRule="exact"/>
              <w:ind w:left="210" w:leftChars="100" w:right="210" w:rightChars="100"/>
              <w:jc w:val="center"/>
              <w:rPr>
                <w:rFonts w:ascii="幼圆" w:eastAsia="幼圆"/>
                <w:b/>
                <w:sz w:val="24"/>
                <w:szCs w:val="24"/>
              </w:rPr>
            </w:pPr>
            <w:bookmarkStart w:id="24" w:name="_Toc83540935"/>
            <w:r>
              <w:rPr>
                <w:rFonts w:hint="eastAsia" w:ascii="幼圆" w:eastAsia="幼圆"/>
                <w:b/>
                <w:sz w:val="24"/>
                <w:szCs w:val="24"/>
              </w:rPr>
              <w:t>专栏2  应用基础研究布局重点领域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1、现代农牧业领域。</w:t>
            </w:r>
            <w:r>
              <w:rPr>
                <w:rFonts w:hint="eastAsia" w:asciiTheme="minorEastAsia" w:hAnsiTheme="minorEastAsia" w:cstheme="minorEastAsia"/>
                <w:sz w:val="24"/>
                <w:szCs w:val="24"/>
              </w:rPr>
              <w:t>全域绿色有机农作物新品种选育与高效栽培管理，河套灌区优势特色农作物生物育种关键技术，优质果蔬新品种选育与高效栽培技术，河套灌区优质高蛋白牧草新品种选育与栽培技术，设施农牧业智能化高效生产关键技术，地方良种家畜新品系选育与现代高效繁育技术，农作物病虫害与家畜疫病绿色防控技术，农业面源污染与“四控”关键技术，引黄滴灌配套技术与盐碱地综合改良和水肥一体化关键技术，农牧业机械化与信息化技术。</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2、传统工业与新兴产业领域。</w:t>
            </w:r>
            <w:r>
              <w:rPr>
                <w:rFonts w:hint="eastAsia" w:asciiTheme="minorEastAsia" w:hAnsiTheme="minorEastAsia" w:cstheme="minorEastAsia"/>
                <w:sz w:val="24"/>
                <w:szCs w:val="24"/>
              </w:rPr>
              <w:t>清洁能源高效开发利用及存储技术，矿产资源高效开发与综合利用技术，蓝宝石、多晶硅、石墨等新材料制备与精深加工技术，河套全域绿色有机农畜产品精深加工技术，生物医药生产开发，特色装备制造，工业生产节能降耗与污染治理，废弃物无害化处理，新一代信息技术与数字经济关键技术。</w:t>
            </w:r>
          </w:p>
          <w:p>
            <w:pPr>
              <w:spacing w:line="480" w:lineRule="exact"/>
              <w:ind w:left="210" w:leftChars="100" w:right="210" w:rightChars="100" w:firstLine="481" w:firstLineChars="200"/>
              <w:rPr>
                <w:rFonts w:ascii="幼圆" w:eastAsia="幼圆"/>
                <w:b/>
                <w:sz w:val="24"/>
                <w:szCs w:val="24"/>
              </w:rPr>
            </w:pPr>
            <w:r>
              <w:rPr>
                <w:rFonts w:hint="eastAsia" w:asciiTheme="minorEastAsia" w:hAnsiTheme="minorEastAsia" w:cstheme="minorEastAsia"/>
                <w:b/>
                <w:sz w:val="24"/>
                <w:szCs w:val="24"/>
              </w:rPr>
              <w:t>3、生态治理领域。</w:t>
            </w:r>
            <w:r>
              <w:rPr>
                <w:rFonts w:hint="eastAsia" w:asciiTheme="minorEastAsia" w:hAnsiTheme="minorEastAsia" w:cstheme="minorEastAsia"/>
                <w:spacing w:val="-6"/>
                <w:sz w:val="24"/>
                <w:szCs w:val="24"/>
              </w:rPr>
              <w:t>乌梁素海流域综合治理技术集成与示范，河套灌区生态保护与系统修复，乌拉特草原生态治理综合技术，乌兰布和与巴音温都尔沙漠综合治理技术，乌梁素海生态过渡带人工湿地等生态系统保护修复技术</w:t>
            </w:r>
            <w:r>
              <w:rPr>
                <w:rFonts w:hint="eastAsia" w:ascii="幼圆" w:eastAsia="幼圆"/>
                <w:sz w:val="24"/>
                <w:szCs w:val="24"/>
              </w:rPr>
              <w:t>。</w:t>
            </w:r>
          </w:p>
        </w:tc>
      </w:tr>
    </w:tbl>
    <w:p>
      <w:pPr>
        <w:spacing w:line="520" w:lineRule="exact"/>
        <w:ind w:firstLine="600" w:firstLineChars="200"/>
        <w:rPr>
          <w:rFonts w:ascii="黑体" w:hAnsi="黑体" w:eastAsia="黑体" w:cs="黑体"/>
          <w:sz w:val="30"/>
          <w:szCs w:val="30"/>
        </w:rPr>
      </w:pPr>
      <w:bookmarkStart w:id="25" w:name="_Toc20491"/>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以科技重大专项带动关键技术突破</w:t>
      </w:r>
      <w:bookmarkEnd w:id="24"/>
      <w:bookmarkEnd w:id="25"/>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部署实施科技重大专项。</w:t>
      </w:r>
      <w:r>
        <w:rPr>
          <w:rFonts w:hint="eastAsia" w:asciiTheme="minorEastAsia" w:hAnsiTheme="minorEastAsia" w:cstheme="minorEastAsia"/>
          <w:sz w:val="28"/>
          <w:szCs w:val="28"/>
        </w:rPr>
        <w:t>聚焦制约我市产业转型升级和生态环境改善的突出短板，瞄准生态环境、现代种业、智慧农业、耕地质量提升、节水灌溉、清洁能源、新材料、绿色有机农畜产品精深加工等重点领域，凝炼一批重要战略产品和颠覆性技术，以突破自主创</w:t>
      </w:r>
      <w:r>
        <w:rPr>
          <w:rFonts w:hint="eastAsia" w:asciiTheme="minorEastAsia" w:hAnsiTheme="minorEastAsia" w:cstheme="minorEastAsia"/>
          <w:spacing w:val="-6"/>
          <w:sz w:val="28"/>
          <w:szCs w:val="28"/>
        </w:rPr>
        <w:t>新能力瓶颈、形成自主知识产权核心技术为原则，作为承接和申报国家、自治区重大科技项目名录备选，优先考虑产学研合作、跨领域跨地区协同攻关。重点支持农高区等国家、自治区级创新平台载体和本土优势企业掌握核心技术和自主产品，创造一批原创性发明专利和行业（国家）技术标准，打造一批有国际、国内认知度的科技品牌，创建一批特色鲜明、主攻方向明确的创新平台，引进培养一批创新领军人才和团队。</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优先布局方向。</w:t>
      </w:r>
      <w:r>
        <w:rPr>
          <w:rFonts w:hint="eastAsia" w:asciiTheme="minorEastAsia" w:hAnsiTheme="minorEastAsia" w:cstheme="minorEastAsia"/>
          <w:sz w:val="28"/>
          <w:szCs w:val="28"/>
        </w:rPr>
        <w:t>科技重大专项以突破“卡脖子”技术问题和带动产业整体升级作为主攻方向，优先布局保障我市粮食安全、生态安全和重大民生需求的关键共性技术与系列产品；具有独特资源优势和前沿技术基础，能攻克行业尖端、抢占自治区制高点和填补我市空白的具有自主知识产权的核心技术；能引领产业延链补链强链，促进形成较大产值规模的关键技术、装备与自主产品开发。列入年度区市两级科技计划的项目要对获得自主知识产权有明确要求，要注重提高自主品牌竞争力，要对企业产品层次整体提升有明显带动作用。</w:t>
      </w:r>
    </w:p>
    <w:p>
      <w:pPr>
        <w:spacing w:line="520" w:lineRule="exact"/>
        <w:ind w:firstLine="600" w:firstLineChars="200"/>
        <w:rPr>
          <w:rFonts w:ascii="黑体" w:hAnsi="黑体" w:eastAsia="黑体" w:cs="黑体"/>
          <w:sz w:val="30"/>
          <w:szCs w:val="30"/>
        </w:rPr>
      </w:pPr>
      <w:bookmarkStart w:id="26" w:name="_Toc83540936"/>
      <w:bookmarkStart w:id="27" w:name="_Toc5452"/>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第三节  强化企业自主创新主体作用</w:t>
      </w:r>
      <w:bookmarkEnd w:id="26"/>
      <w:bookmarkEnd w:id="27"/>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加强企业研发机构建设。</w:t>
      </w:r>
      <w:r>
        <w:rPr>
          <w:rFonts w:hint="eastAsia" w:asciiTheme="minorEastAsia" w:hAnsiTheme="minorEastAsia" w:cstheme="minorEastAsia"/>
          <w:sz w:val="28"/>
          <w:szCs w:val="28"/>
        </w:rPr>
        <w:t>鼓励企业牵头组建创新联合体，支持规模以上制造类企业普遍建立研发机构实体，尽快完善研发组织体系和工程化配套条件。引导企业将自身发展需求和我市战略目标相结合，鼓励企业主导、产学研联合申报自治区和市级科技计划项目，重点企业和高新技术企业研发项目纳入市科技计划指导范围。引导企业加大研发投入，支持企业联合大学、科研机构共同设立研发基金。鼓励企业探索开放式创新模式，利用内部众创众筹形式丰富研发组织，拓宽研发资金渠道。</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培育创新领军企业。</w:t>
      </w:r>
      <w:r>
        <w:rPr>
          <w:rFonts w:hint="eastAsia" w:asciiTheme="minorEastAsia" w:hAnsiTheme="minorEastAsia" w:cstheme="minorEastAsia"/>
          <w:sz w:val="28"/>
          <w:szCs w:val="28"/>
        </w:rPr>
        <w:t>引导各类创新要素向企业集聚，培育一批有影响力的创新领军企业，开展应用基础研究和前沿技术知识产权创造，形成一批战略性高价值自主技术组合。发挥领军企业在产业技术创新中的引领作用，示范和带动一批“瞪羚”企业和“隐形冠军”。协调好科技计划项目、平台建设、人才培养等与培育领军企业的衔接，加快技术创新中心优先在领军企业布局。</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完善企业创新布局。</w:t>
      </w:r>
      <w:r>
        <w:rPr>
          <w:rFonts w:hint="eastAsia" w:asciiTheme="minorEastAsia" w:hAnsiTheme="minorEastAsia" w:cstheme="minorEastAsia"/>
          <w:sz w:val="28"/>
          <w:szCs w:val="28"/>
        </w:rPr>
        <w:t>实施高新技术企业和科技型中小企业“双倍增”计划，建立高新技术企业培育库，加速扩大创新主体规模。激发科技型中小企业、“科技创新板”挂牌企业、中小微企业创新活力。培育一批专注于细分市场、聚焦主业、创新能力强、成长性好的专精特新“链主企业”。建设一批面向科技型中小企业的创新服务平台，提供创新成果转化与应用、数字化智能化改造、知识产权应用、人才培训、上云用云及工业设计等服务。到2025年，认定高新技术企业50家。认定科技型中小企业60家。</w:t>
      </w:r>
    </w:p>
    <w:p>
      <w:pPr>
        <w:spacing w:line="520" w:lineRule="exact"/>
        <w:ind w:firstLine="600" w:firstLineChars="200"/>
        <w:rPr>
          <w:rFonts w:ascii="黑体" w:hAnsi="黑体" w:eastAsia="黑体" w:cs="黑体"/>
          <w:sz w:val="30"/>
          <w:szCs w:val="30"/>
        </w:rPr>
      </w:pPr>
      <w:bookmarkStart w:id="28" w:name="_Toc83540937"/>
      <w:bookmarkStart w:id="29" w:name="_Toc15691"/>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第四节  提升科研机构与高等院校创新能力</w:t>
      </w:r>
      <w:bookmarkEnd w:id="28"/>
      <w:bookmarkEnd w:id="29"/>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强化科研机构创新条件。</w:t>
      </w:r>
      <w:r>
        <w:rPr>
          <w:rFonts w:hint="eastAsia" w:asciiTheme="minorEastAsia" w:hAnsiTheme="minorEastAsia" w:cstheme="minorEastAsia"/>
          <w:sz w:val="28"/>
          <w:szCs w:val="28"/>
        </w:rPr>
        <w:t>支持重点科研机构不断完善现有领域和优势学科的创新条件，强化公益科研满足我市重大战略需求的应用研究成果储备与供应职责，打造体现我市核心能力的应用科研平台，开展多种形式的应用研究和试验发展活动。增大具有我市和自治区特色优势学科专业比例，保持高质量研究水平。支持科研机构实验室建设，提升科研仪器设备配置水平和信息化手段等基础能力。</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发挥高等院校创新优势。</w:t>
      </w:r>
      <w:r>
        <w:rPr>
          <w:rFonts w:hint="eastAsia" w:asciiTheme="minorEastAsia" w:hAnsiTheme="minorEastAsia" w:cstheme="minorEastAsia"/>
          <w:sz w:val="28"/>
          <w:szCs w:val="28"/>
        </w:rPr>
        <w:t>支持河套学院面</w:t>
      </w:r>
      <w:r>
        <w:rPr>
          <w:rFonts w:hint="eastAsia" w:asciiTheme="minorEastAsia" w:hAnsiTheme="minorEastAsia" w:cstheme="minorEastAsia"/>
          <w:spacing w:val="-6"/>
          <w:sz w:val="28"/>
          <w:szCs w:val="28"/>
        </w:rPr>
        <w:t>向我市和自治区重大科技需求调整学科定位，构建与我市产业特色相匹配的学科体系和专业链，完善教学科研协调发展机制，从满足我市战略需求中获得内生动力和发展资源。按照国家和自治区一流大学一流学科建设要求，找准自身定位，打造一批品牌、领先和特色学科，建设以领先学科为支撑的特色研究中心。支持具有学科领先优势的河套灌区灌溉排水、河套地区绿色农畜产品安全生产与预警控制、肉羊遗传评估方法与应用等专业方向的自治区级创新平台提升运行质态，努力形成教学与科研成果双向转移机制。鼓励围绕重点学科和特色平台建设需求组建多层次学术团队，为领军人才脱颖而出创造条件。开展职业教育学科整合和专业体系构建，注重贴近社会迫切需求寻找专业设置生长点，结合不同校情校境明确骨干专业，创建各校品牌特色，形成错位发展。促进高等院校依托重点学科专业建设多种形式成果转化平台，完善技术转移机制。</w:t>
      </w:r>
      <w:bookmarkStart w:id="30" w:name="_Toc83540938"/>
      <w:bookmarkStart w:id="31" w:name="_Toc20091"/>
    </w:p>
    <w:p>
      <w:pPr>
        <w:spacing w:line="520" w:lineRule="exact"/>
        <w:ind w:firstLine="560" w:firstLineChars="200"/>
        <w:rPr>
          <w:rFonts w:asciiTheme="minorEastAsia" w:hAnsiTheme="minorEastAsia" w:cstheme="minorEastAsia"/>
          <w:sz w:val="28"/>
          <w:szCs w:val="28"/>
        </w:rPr>
      </w:pPr>
    </w:p>
    <w:p>
      <w:pPr>
        <w:spacing w:line="520" w:lineRule="exact"/>
        <w:jc w:val="center"/>
        <w:rPr>
          <w:rFonts w:ascii="黑体" w:hAnsi="黑体" w:eastAsia="黑体" w:cs="黑体"/>
          <w:sz w:val="32"/>
          <w:szCs w:val="32"/>
        </w:rPr>
      </w:pPr>
      <w:r>
        <w:rPr>
          <w:rFonts w:hint="eastAsia" w:ascii="黑体" w:hAnsi="黑体" w:eastAsia="黑体" w:cs="黑体"/>
          <w:sz w:val="32"/>
          <w:szCs w:val="32"/>
        </w:rPr>
        <w:t>第四章  建设高效区域创新体系</w:t>
      </w:r>
      <w:bookmarkEnd w:id="30"/>
      <w:bookmarkEnd w:id="31"/>
      <w:bookmarkStart w:id="32" w:name="_Toc28183"/>
      <w:bookmarkStart w:id="33" w:name="_Toc83540939"/>
    </w:p>
    <w:p>
      <w:pPr>
        <w:spacing w:line="520" w:lineRule="exact"/>
        <w:rPr>
          <w:rFonts w:asciiTheme="minorEastAsia" w:hAnsiTheme="minorEastAsia" w:cstheme="minorEastAsia"/>
          <w:sz w:val="28"/>
          <w:szCs w:val="28"/>
        </w:rPr>
      </w:pPr>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第一节  建设国家农业高新技术产业示范区</w:t>
      </w:r>
      <w:bookmarkEnd w:id="32"/>
      <w:bookmarkEnd w:id="33"/>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Theme="minorEastAsia" w:hAnsiTheme="minorEastAsia" w:cstheme="minorEastAsia"/>
          <w:color w:val="auto"/>
          <w:spacing w:val="-6"/>
          <w:sz w:val="28"/>
          <w:szCs w:val="28"/>
        </w:rPr>
      </w:pPr>
      <w:r>
        <w:rPr>
          <w:rFonts w:hint="eastAsia" w:asciiTheme="minorEastAsia" w:hAnsiTheme="minorEastAsia" w:cstheme="minorEastAsia"/>
          <w:b/>
          <w:bCs/>
          <w:sz w:val="28"/>
          <w:szCs w:val="28"/>
          <w:lang w:eastAsia="zh-CN"/>
        </w:rPr>
        <w:t>加快</w:t>
      </w:r>
      <w:r>
        <w:rPr>
          <w:rFonts w:hint="eastAsia" w:asciiTheme="minorEastAsia" w:hAnsiTheme="minorEastAsia" w:cstheme="minorEastAsia"/>
          <w:b/>
          <w:bCs/>
          <w:sz w:val="28"/>
          <w:szCs w:val="28"/>
        </w:rPr>
        <w:t>农高区建设进程。</w:t>
      </w:r>
      <w:r>
        <w:rPr>
          <w:rFonts w:hint="eastAsia" w:asciiTheme="minorEastAsia" w:hAnsiTheme="minorEastAsia" w:cstheme="minorEastAsia"/>
          <w:color w:val="auto"/>
          <w:spacing w:val="-6"/>
          <w:sz w:val="28"/>
          <w:szCs w:val="28"/>
          <w:lang w:eastAsia="zh-CN"/>
        </w:rPr>
        <w:t>全面落实</w:t>
      </w:r>
      <w:r>
        <w:rPr>
          <w:rFonts w:hint="default" w:asciiTheme="minorEastAsia" w:hAnsiTheme="minorEastAsia" w:cstheme="minorEastAsia"/>
          <w:color w:val="auto"/>
          <w:spacing w:val="-6"/>
          <w:sz w:val="28"/>
          <w:szCs w:val="28"/>
          <w:lang w:val="en-US" w:eastAsia="zh-CN"/>
        </w:rPr>
        <w:t>《国务院关于同意建设内蒙古巴彦淖尔国家农业高新技术产业示范区的批复》（国函〔2022〕36号）要求，加快推进农高区高质量建设</w:t>
      </w:r>
      <w:r>
        <w:rPr>
          <w:rFonts w:hint="eastAsia" w:asciiTheme="minorEastAsia" w:hAnsiTheme="minorEastAsia" w:cstheme="minorEastAsia"/>
          <w:color w:val="auto"/>
          <w:spacing w:val="-6"/>
          <w:sz w:val="28"/>
          <w:szCs w:val="28"/>
          <w:lang w:val="en-US" w:eastAsia="zh-CN"/>
        </w:rPr>
        <w:t>。</w:t>
      </w:r>
      <w:r>
        <w:rPr>
          <w:rFonts w:hint="default" w:asciiTheme="minorEastAsia" w:hAnsiTheme="minorEastAsia" w:cstheme="minorEastAsia"/>
          <w:color w:val="auto"/>
          <w:spacing w:val="-6"/>
          <w:sz w:val="28"/>
          <w:szCs w:val="28"/>
          <w:lang w:val="en-US" w:eastAsia="zh-CN"/>
        </w:rPr>
        <w:t>按照党中央、国务院决策部署，全面实施创新驱动发展战略和乡村振兴战略，以河套灌区生态农牧业为主题，以硬质小麦和肉羊为主导产业，</w:t>
      </w:r>
      <w:r>
        <w:rPr>
          <w:rFonts w:hint="eastAsia" w:asciiTheme="minorEastAsia" w:hAnsiTheme="minorEastAsia" w:cstheme="minorEastAsia"/>
          <w:color w:val="auto"/>
          <w:spacing w:val="-6"/>
          <w:sz w:val="28"/>
          <w:szCs w:val="28"/>
          <w:lang w:val="en-US" w:eastAsia="zh-CN"/>
        </w:rPr>
        <w:t>制</w:t>
      </w:r>
      <w:r>
        <w:rPr>
          <w:rFonts w:hint="eastAsia" w:asciiTheme="minorEastAsia" w:hAnsiTheme="minorEastAsia" w:cstheme="minorEastAsia"/>
          <w:color w:val="auto"/>
          <w:spacing w:val="-6"/>
          <w:sz w:val="28"/>
          <w:szCs w:val="28"/>
          <w:lang w:eastAsia="zh-CN"/>
        </w:rPr>
        <w:t>定出台《</w:t>
      </w:r>
      <w:r>
        <w:rPr>
          <w:rFonts w:hint="default" w:asciiTheme="minorEastAsia" w:hAnsiTheme="minorEastAsia" w:cstheme="minorEastAsia"/>
          <w:color w:val="auto"/>
          <w:spacing w:val="-6"/>
          <w:sz w:val="28"/>
          <w:szCs w:val="28"/>
          <w:lang w:val="en-US" w:eastAsia="zh-CN"/>
        </w:rPr>
        <w:t>巴彦淖尔国家农业高新技术产业示范区建设三年行动方案（2022-2024年）</w:t>
      </w:r>
      <w:r>
        <w:rPr>
          <w:rFonts w:hint="eastAsia" w:asciiTheme="minorEastAsia" w:hAnsiTheme="minorEastAsia" w:cstheme="minorEastAsia"/>
          <w:color w:val="auto"/>
          <w:spacing w:val="-6"/>
          <w:sz w:val="28"/>
          <w:szCs w:val="28"/>
          <w:lang w:eastAsia="zh-CN"/>
        </w:rPr>
        <w:t>》，</w:t>
      </w:r>
      <w:r>
        <w:rPr>
          <w:rFonts w:hint="eastAsia" w:asciiTheme="minorEastAsia" w:hAnsiTheme="minorEastAsia" w:cstheme="minorEastAsia"/>
          <w:color w:val="auto"/>
          <w:spacing w:val="-6"/>
          <w:sz w:val="28"/>
          <w:szCs w:val="28"/>
        </w:rPr>
        <w:t>努力建设</w:t>
      </w:r>
      <w:r>
        <w:rPr>
          <w:rFonts w:asciiTheme="minorEastAsia" w:hAnsiTheme="minorEastAsia" w:cstheme="minorEastAsia"/>
          <w:color w:val="auto"/>
          <w:spacing w:val="-6"/>
          <w:sz w:val="28"/>
          <w:szCs w:val="28"/>
        </w:rPr>
        <w:t>全国生态农牧业科技创新发展引领区、“一带一路”农牧业科技合作先行区、农村一二三产业融合发展样板区，在黄河流域西北地区推动硬质小麦和肉羊创新发展、打造特色生态农牧产业集群、引领生态农牧业高质量发展等方面探索示范，努力创造出可复制、可推广的经验，全力打造具有国际影响力的现代农业创新高地、人才高地、产业高地。</w:t>
      </w:r>
    </w:p>
    <w:p>
      <w:pPr>
        <w:keepNext w:val="0"/>
        <w:keepLines w:val="0"/>
        <w:pageBreakBefore w:val="0"/>
        <w:kinsoku/>
        <w:wordWrap/>
        <w:overflowPunct/>
        <w:topLinePunct w:val="0"/>
        <w:autoSpaceDE/>
        <w:autoSpaceDN/>
        <w:bidi w:val="0"/>
        <w:adjustRightInd/>
        <w:snapToGrid/>
        <w:spacing w:line="520" w:lineRule="exact"/>
        <w:ind w:firstLine="538" w:firstLineChars="200"/>
        <w:textAlignment w:val="auto"/>
        <w:rPr>
          <w:rFonts w:asciiTheme="minorEastAsia" w:hAnsiTheme="minorEastAsia" w:cstheme="minorEastAsia"/>
          <w:color w:val="auto"/>
          <w:spacing w:val="-6"/>
          <w:sz w:val="28"/>
          <w:szCs w:val="28"/>
        </w:rPr>
      </w:pPr>
      <w:r>
        <w:rPr>
          <w:rFonts w:hint="eastAsia" w:asciiTheme="minorEastAsia" w:hAnsiTheme="minorEastAsia" w:cstheme="minorEastAsia"/>
          <w:b/>
          <w:bCs/>
          <w:color w:val="auto"/>
          <w:spacing w:val="-6"/>
          <w:sz w:val="28"/>
          <w:szCs w:val="28"/>
        </w:rPr>
        <w:t>搭建高层次</w:t>
      </w:r>
      <w:r>
        <w:rPr>
          <w:rFonts w:hint="eastAsia" w:asciiTheme="minorEastAsia" w:hAnsiTheme="minorEastAsia" w:cstheme="minorEastAsia"/>
          <w:b/>
          <w:bCs/>
          <w:color w:val="auto"/>
          <w:spacing w:val="-6"/>
          <w:sz w:val="28"/>
          <w:szCs w:val="28"/>
          <w:lang w:eastAsia="zh-CN"/>
        </w:rPr>
        <w:t>科技</w:t>
      </w:r>
      <w:r>
        <w:rPr>
          <w:rFonts w:hint="eastAsia" w:asciiTheme="minorEastAsia" w:hAnsiTheme="minorEastAsia" w:cstheme="minorEastAsia"/>
          <w:b/>
          <w:bCs/>
          <w:color w:val="auto"/>
          <w:spacing w:val="-6"/>
          <w:sz w:val="28"/>
          <w:szCs w:val="28"/>
        </w:rPr>
        <w:t>创新平台。</w:t>
      </w:r>
      <w:r>
        <w:rPr>
          <w:rFonts w:hint="eastAsia" w:asciiTheme="minorEastAsia" w:hAnsiTheme="minorEastAsia" w:cstheme="minorEastAsia"/>
          <w:color w:val="auto"/>
          <w:spacing w:val="-6"/>
          <w:sz w:val="28"/>
          <w:szCs w:val="28"/>
        </w:rPr>
        <w:t>重点建设</w:t>
      </w:r>
      <w:r>
        <w:rPr>
          <w:rFonts w:hint="eastAsia" w:asciiTheme="minorEastAsia" w:hAnsiTheme="minorEastAsia" w:cstheme="minorEastAsia"/>
          <w:color w:val="auto"/>
          <w:spacing w:val="-6"/>
          <w:sz w:val="28"/>
          <w:szCs w:val="28"/>
          <w:lang w:eastAsia="zh-CN"/>
        </w:rPr>
        <w:t>“</w:t>
      </w:r>
      <w:r>
        <w:rPr>
          <w:rFonts w:hint="eastAsia" w:asciiTheme="minorEastAsia" w:hAnsiTheme="minorEastAsia" w:cstheme="minorEastAsia"/>
          <w:color w:val="auto"/>
          <w:spacing w:val="-6"/>
          <w:sz w:val="28"/>
          <w:szCs w:val="28"/>
          <w:lang w:val="en-US" w:eastAsia="zh-CN"/>
        </w:rPr>
        <w:t>1+4+N</w:t>
      </w:r>
      <w:r>
        <w:rPr>
          <w:rFonts w:hint="eastAsia" w:asciiTheme="minorEastAsia" w:hAnsiTheme="minorEastAsia" w:cstheme="minorEastAsia"/>
          <w:color w:val="auto"/>
          <w:spacing w:val="-6"/>
          <w:sz w:val="28"/>
          <w:szCs w:val="28"/>
          <w:lang w:eastAsia="zh-CN"/>
        </w:rPr>
        <w:t>”高层次科技创新平台</w:t>
      </w:r>
      <w:r>
        <w:rPr>
          <w:rFonts w:hint="eastAsia" w:asciiTheme="minorEastAsia" w:hAnsiTheme="minorEastAsia" w:cstheme="minorEastAsia"/>
          <w:color w:val="auto"/>
          <w:spacing w:val="-6"/>
          <w:sz w:val="28"/>
          <w:szCs w:val="28"/>
        </w:rPr>
        <w:t>，即与中国农业大学</w:t>
      </w:r>
      <w:r>
        <w:rPr>
          <w:rFonts w:asciiTheme="minorEastAsia" w:hAnsiTheme="minorEastAsia" w:cstheme="minorEastAsia"/>
          <w:color w:val="auto"/>
          <w:spacing w:val="-6"/>
          <w:sz w:val="28"/>
          <w:szCs w:val="28"/>
        </w:rPr>
        <w:t>合作建设河套灌区中农大研究院；依托中国农业大学孙其信校长团队，建设河套硬质小麦技术创新中心；依托中国农业大学任发政院士团队，建设肉羊技术创新中心；依托中国农科院、江南大学等专家团队，建设向日葵技术创新中心；与中国科学院南京土壤所合作，建设河套灌区土壤地力提升技术应用推广中心。</w:t>
      </w:r>
      <w:r>
        <w:rPr>
          <w:rFonts w:hint="eastAsia" w:asciiTheme="minorEastAsia" w:hAnsiTheme="minorEastAsia" w:cstheme="minorEastAsia"/>
          <w:color w:val="auto"/>
          <w:spacing w:val="-6"/>
          <w:sz w:val="28"/>
          <w:szCs w:val="28"/>
          <w:lang w:eastAsia="zh-CN"/>
        </w:rPr>
        <w:t>引导产业化龙头企业联合高校、科研院所和各类创新主体，加快</w:t>
      </w:r>
      <w:r>
        <w:rPr>
          <w:rFonts w:hint="eastAsia" w:asciiTheme="minorEastAsia" w:hAnsiTheme="minorEastAsia" w:cstheme="minorEastAsia"/>
          <w:color w:val="auto"/>
          <w:spacing w:val="-6"/>
          <w:sz w:val="28"/>
          <w:szCs w:val="28"/>
        </w:rPr>
        <w:t>组建</w:t>
      </w:r>
      <w:r>
        <w:rPr>
          <w:rFonts w:hint="eastAsia" w:asciiTheme="minorEastAsia" w:hAnsiTheme="minorEastAsia" w:cstheme="minorEastAsia"/>
          <w:color w:val="auto"/>
          <w:spacing w:val="-6"/>
          <w:sz w:val="28"/>
          <w:szCs w:val="28"/>
          <w:lang w:eastAsia="zh-CN"/>
        </w:rPr>
        <w:t>创新联合体，全面提升农高区科技创新水平</w:t>
      </w:r>
      <w:r>
        <w:rPr>
          <w:rFonts w:hint="eastAsia" w:asciiTheme="minorEastAsia" w:hAnsiTheme="minorEastAsia" w:cstheme="minorEastAsia"/>
          <w:color w:val="auto"/>
          <w:spacing w:val="-6"/>
          <w:sz w:val="28"/>
          <w:szCs w:val="28"/>
        </w:rPr>
        <w:t>。</w:t>
      </w:r>
      <w:r>
        <w:rPr>
          <w:rFonts w:asciiTheme="minorEastAsia" w:hAnsiTheme="minorEastAsia" w:cstheme="minorEastAsia"/>
          <w:color w:val="auto"/>
          <w:spacing w:val="-6"/>
          <w:sz w:val="28"/>
          <w:szCs w:val="28"/>
        </w:rPr>
        <w:t>力争</w:t>
      </w:r>
      <w:r>
        <w:rPr>
          <w:rFonts w:hint="eastAsia" w:asciiTheme="minorEastAsia" w:hAnsiTheme="minorEastAsia" w:cstheme="minorEastAsia"/>
          <w:color w:val="auto"/>
          <w:spacing w:val="-6"/>
          <w:sz w:val="28"/>
          <w:szCs w:val="28"/>
          <w:lang w:eastAsia="zh-CN"/>
        </w:rPr>
        <w:t>到“十四五”末</w:t>
      </w:r>
      <w:r>
        <w:rPr>
          <w:rFonts w:asciiTheme="minorEastAsia" w:hAnsiTheme="minorEastAsia" w:cstheme="minorEastAsia"/>
          <w:color w:val="auto"/>
          <w:spacing w:val="-6"/>
          <w:sz w:val="28"/>
          <w:szCs w:val="28"/>
        </w:rPr>
        <w:t>将小麦、肉羊、向日葵技术创新中心建设成为自治区级技术创新中心。</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加快创新资源向农高区集聚。</w:t>
      </w:r>
      <w:r>
        <w:rPr>
          <w:rFonts w:hint="eastAsia" w:asciiTheme="minorEastAsia" w:hAnsiTheme="minorEastAsia" w:cstheme="minorEastAsia"/>
          <w:spacing w:val="-6"/>
          <w:sz w:val="28"/>
          <w:szCs w:val="28"/>
        </w:rPr>
        <w:t>以延链、补链、强链为方向，突出“农、高、科”三要素，积极引进创新型人才团队、创新成果、创新项目、创新平台和创新型企业，努力在集聚科创资源、促进招才引智、助力招商引资上狠抓落实。</w:t>
      </w:r>
      <w:r>
        <w:rPr>
          <w:rFonts w:hint="eastAsia" w:asciiTheme="minorEastAsia" w:hAnsiTheme="minorEastAsia" w:cstheme="minorEastAsia"/>
          <w:sz w:val="28"/>
          <w:szCs w:val="28"/>
        </w:rPr>
        <w:t>支持中国科学院、中国农业科学院、中国农业大学、</w:t>
      </w:r>
      <w:r>
        <w:rPr>
          <w:rFonts w:hint="eastAsia" w:asciiTheme="minorEastAsia" w:hAnsiTheme="minorEastAsia" w:cstheme="minorEastAsia"/>
          <w:sz w:val="28"/>
          <w:szCs w:val="28"/>
          <w:lang w:eastAsia="zh-CN"/>
        </w:rPr>
        <w:t>江南</w:t>
      </w:r>
      <w:r>
        <w:rPr>
          <w:rFonts w:hint="eastAsia" w:asciiTheme="minorEastAsia" w:hAnsiTheme="minorEastAsia" w:cstheme="minorEastAsia"/>
          <w:sz w:val="28"/>
          <w:szCs w:val="28"/>
        </w:rPr>
        <w:t>大学等国内著名院校进驻农高区合作共建研发中心、试验基地、创业孵化中心等创新实体。</w:t>
      </w:r>
      <w:r>
        <w:rPr>
          <w:rFonts w:asciiTheme="minorEastAsia" w:hAnsiTheme="minorEastAsia" w:cstheme="minorEastAsia"/>
          <w:color w:val="auto"/>
          <w:sz w:val="28"/>
          <w:szCs w:val="28"/>
        </w:rPr>
        <w:t>争取内蒙古</w:t>
      </w:r>
      <w:r>
        <w:rPr>
          <w:rFonts w:hint="eastAsia" w:asciiTheme="minorEastAsia" w:hAnsiTheme="minorEastAsia" w:cstheme="minorEastAsia"/>
          <w:color w:val="auto"/>
          <w:sz w:val="28"/>
          <w:szCs w:val="28"/>
        </w:rPr>
        <w:t>大学、内蒙古</w:t>
      </w:r>
      <w:r>
        <w:rPr>
          <w:rFonts w:asciiTheme="minorEastAsia" w:hAnsiTheme="minorEastAsia" w:cstheme="minorEastAsia"/>
          <w:color w:val="auto"/>
          <w:sz w:val="28"/>
          <w:szCs w:val="28"/>
        </w:rPr>
        <w:t>农业大学、内蒙古农科院等区内高校科研院所在农高区</w:t>
      </w:r>
      <w:r>
        <w:rPr>
          <w:rFonts w:hint="eastAsia" w:asciiTheme="minorEastAsia" w:hAnsiTheme="minorEastAsia" w:cstheme="minorEastAsia"/>
          <w:color w:val="auto"/>
          <w:sz w:val="28"/>
          <w:szCs w:val="28"/>
          <w:lang w:eastAsia="zh-CN"/>
        </w:rPr>
        <w:t>合作</w:t>
      </w:r>
      <w:r>
        <w:rPr>
          <w:rFonts w:asciiTheme="minorEastAsia" w:hAnsiTheme="minorEastAsia" w:cstheme="minorEastAsia"/>
          <w:color w:val="auto"/>
          <w:sz w:val="28"/>
          <w:szCs w:val="28"/>
        </w:rPr>
        <w:t>建立</w:t>
      </w:r>
      <w:r>
        <w:rPr>
          <w:rFonts w:hint="eastAsia" w:asciiTheme="minorEastAsia" w:hAnsiTheme="minorEastAsia" w:cstheme="minorEastAsia"/>
          <w:color w:val="auto"/>
          <w:sz w:val="28"/>
          <w:szCs w:val="28"/>
          <w:lang w:eastAsia="zh-CN"/>
        </w:rPr>
        <w:t>研究</w:t>
      </w:r>
      <w:r>
        <w:rPr>
          <w:rFonts w:asciiTheme="minorEastAsia" w:hAnsiTheme="minorEastAsia" w:cstheme="minorEastAsia"/>
          <w:color w:val="auto"/>
          <w:sz w:val="28"/>
          <w:szCs w:val="28"/>
        </w:rPr>
        <w:t>机构，</w:t>
      </w:r>
      <w:r>
        <w:rPr>
          <w:rFonts w:hint="eastAsia" w:asciiTheme="minorEastAsia" w:hAnsiTheme="minorEastAsia" w:cstheme="minorEastAsia"/>
          <w:color w:val="auto"/>
          <w:sz w:val="28"/>
          <w:szCs w:val="28"/>
        </w:rPr>
        <w:t>带动提升农高区科技研发能力和水平。</w:t>
      </w:r>
      <w:r>
        <w:rPr>
          <w:rFonts w:asciiTheme="minorEastAsia" w:hAnsiTheme="minorEastAsia" w:cstheme="minorEastAsia"/>
          <w:color w:val="auto"/>
          <w:sz w:val="28"/>
          <w:szCs w:val="28"/>
        </w:rPr>
        <w:t>发挥河套学院、市农科所等本土创新资源优势，</w:t>
      </w:r>
      <w:r>
        <w:rPr>
          <w:rFonts w:hint="eastAsia" w:asciiTheme="minorEastAsia" w:hAnsiTheme="minorEastAsia" w:cstheme="minorEastAsia"/>
          <w:color w:val="auto"/>
          <w:sz w:val="28"/>
          <w:szCs w:val="28"/>
        </w:rPr>
        <w:t>更好地服务农高区建设。</w:t>
      </w:r>
      <w:r>
        <w:rPr>
          <w:rFonts w:hint="eastAsia" w:asciiTheme="minorEastAsia" w:hAnsiTheme="minorEastAsia" w:cstheme="minorEastAsia"/>
          <w:sz w:val="28"/>
          <w:szCs w:val="28"/>
        </w:rPr>
        <w:t>引导吸引高新技术企业、院士专家工作站、博士科研工作站、众创空间、星创天地入驻园区开展科技示范、成果转化和创业孵化，</w:t>
      </w:r>
      <w:r>
        <w:rPr>
          <w:rFonts w:hint="eastAsia" w:asciiTheme="minorEastAsia" w:hAnsiTheme="minorEastAsia" w:cstheme="minorEastAsia"/>
          <w:spacing w:val="-6"/>
          <w:sz w:val="28"/>
          <w:szCs w:val="28"/>
        </w:rPr>
        <w:t>推动现代农业高新技术成果在农高区转化应用，进一步做大做强高新技术产业集群，促进产业转型升级。</w:t>
      </w:r>
      <w:r>
        <w:rPr>
          <w:rFonts w:hint="eastAsia" w:asciiTheme="minorEastAsia" w:hAnsiTheme="minorEastAsia" w:cstheme="minorEastAsia"/>
          <w:sz w:val="28"/>
          <w:szCs w:val="28"/>
        </w:rPr>
        <w:t>力争到2025年农高区实现产值200亿元，形成辐射巴彦淖尔、带动自治区中西部现代农牧业发展的新经济增长极。</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cstheme="minorEastAsia"/>
          <w:color w:val="0000FF"/>
          <w:sz w:val="28"/>
          <w:szCs w:val="28"/>
        </w:rPr>
      </w:pPr>
      <w:r>
        <w:rPr>
          <w:rFonts w:hint="eastAsia" w:asciiTheme="minorEastAsia" w:hAnsiTheme="minorEastAsia" w:cstheme="minorEastAsia"/>
          <w:b/>
          <w:sz w:val="28"/>
          <w:szCs w:val="28"/>
        </w:rPr>
        <w:t>实施</w:t>
      </w:r>
      <w:r>
        <w:rPr>
          <w:rFonts w:hint="eastAsia" w:asciiTheme="minorEastAsia" w:hAnsiTheme="minorEastAsia" w:cstheme="minorEastAsia"/>
          <w:b/>
          <w:sz w:val="28"/>
          <w:szCs w:val="28"/>
          <w:lang w:eastAsia="zh-CN"/>
        </w:rPr>
        <w:t>农高区建设科技重大</w:t>
      </w:r>
      <w:r>
        <w:rPr>
          <w:rFonts w:hint="eastAsia" w:asciiTheme="minorEastAsia" w:hAnsiTheme="minorEastAsia" w:cstheme="minorEastAsia"/>
          <w:b/>
          <w:sz w:val="28"/>
          <w:szCs w:val="28"/>
        </w:rPr>
        <w:t>专项。</w:t>
      </w:r>
      <w:r>
        <w:rPr>
          <w:rFonts w:hint="eastAsia" w:asciiTheme="minorEastAsia" w:hAnsiTheme="minorEastAsia" w:cstheme="minorEastAsia"/>
          <w:sz w:val="28"/>
          <w:szCs w:val="28"/>
        </w:rPr>
        <w:t>规划使用好自治区连续5年每年5000万元的支持资金，按照自治区“科技兴蒙”重点专项“创建巴彦淖尔国家农业高新技术产业示范区”的支持方向，围绕</w:t>
      </w:r>
      <w:r>
        <w:rPr>
          <w:rFonts w:hint="eastAsia" w:asciiTheme="minorEastAsia" w:hAnsiTheme="minorEastAsia" w:cstheme="minorEastAsia"/>
          <w:spacing w:val="-6"/>
          <w:sz w:val="28"/>
          <w:szCs w:val="28"/>
        </w:rPr>
        <w:t>农高区发展主题与硬质</w:t>
      </w:r>
      <w:r>
        <w:rPr>
          <w:rFonts w:hint="eastAsia" w:asciiTheme="minorEastAsia" w:hAnsiTheme="minorEastAsia" w:cstheme="minorEastAsia"/>
          <w:sz w:val="28"/>
          <w:szCs w:val="28"/>
        </w:rPr>
        <w:t>小麦、肉羊两个</w:t>
      </w:r>
      <w:r>
        <w:rPr>
          <w:rFonts w:hint="eastAsia" w:asciiTheme="minorEastAsia" w:hAnsiTheme="minorEastAsia" w:cstheme="minorEastAsia"/>
          <w:spacing w:val="-6"/>
          <w:sz w:val="28"/>
          <w:szCs w:val="28"/>
        </w:rPr>
        <w:t>主导产业的战略定位，</w:t>
      </w:r>
      <w:r>
        <w:rPr>
          <w:rFonts w:hint="eastAsia" w:asciiTheme="minorEastAsia" w:hAnsiTheme="minorEastAsia" w:cstheme="minorEastAsia"/>
          <w:sz w:val="28"/>
          <w:szCs w:val="28"/>
          <w:lang w:eastAsia="zh-CN"/>
        </w:rPr>
        <w:t>加快</w:t>
      </w:r>
      <w:r>
        <w:rPr>
          <w:rFonts w:hint="eastAsia" w:asciiTheme="minorEastAsia" w:hAnsiTheme="minorEastAsia" w:cstheme="minorEastAsia"/>
          <w:sz w:val="28"/>
          <w:szCs w:val="28"/>
        </w:rPr>
        <w:t>组织</w:t>
      </w:r>
      <w:r>
        <w:rPr>
          <w:rFonts w:hint="eastAsia" w:asciiTheme="minorEastAsia" w:hAnsiTheme="minorEastAsia" w:cstheme="minorEastAsia"/>
          <w:sz w:val="28"/>
          <w:szCs w:val="28"/>
          <w:lang w:eastAsia="zh-CN"/>
        </w:rPr>
        <w:t>开展</w:t>
      </w:r>
      <w:r>
        <w:rPr>
          <w:rFonts w:hint="eastAsia" w:asciiTheme="minorEastAsia" w:hAnsiTheme="minorEastAsia" w:cstheme="minorEastAsia"/>
          <w:sz w:val="28"/>
          <w:szCs w:val="28"/>
        </w:rPr>
        <w:t>农畜新品种培育、</w:t>
      </w:r>
      <w:r>
        <w:rPr>
          <w:rFonts w:hint="eastAsia" w:asciiTheme="minorEastAsia" w:hAnsiTheme="minorEastAsia" w:cstheme="minorEastAsia"/>
          <w:spacing w:val="-6"/>
          <w:sz w:val="28"/>
          <w:szCs w:val="28"/>
        </w:rPr>
        <w:t>农畜产品精深加工、智慧循环农牧业</w:t>
      </w:r>
      <w:r>
        <w:rPr>
          <w:rFonts w:hint="eastAsia" w:asciiTheme="minorEastAsia" w:hAnsiTheme="minorEastAsia" w:cstheme="minorEastAsia"/>
          <w:sz w:val="28"/>
          <w:szCs w:val="28"/>
        </w:rPr>
        <w:t>、生物科技产业、现代农牧服务业、农业互联网关键技术、农畜粪污资源化综合利用技术等领域关键技术攻关、重大科技成果转化和创新平台载体建设。以项目推动农高区核心区“一体三园”（创新创业综合体、食品科技园、生物科技园、农畜产品智慧交易园）、示范区</w:t>
      </w:r>
      <w:r>
        <w:rPr>
          <w:rFonts w:hint="eastAsia" w:asciiTheme="minorEastAsia" w:hAnsiTheme="minorEastAsia" w:cstheme="minorEastAsia"/>
          <w:sz w:val="28"/>
          <w:szCs w:val="28"/>
          <w:lang w:eastAsia="zh-CN"/>
        </w:rPr>
        <w:t>五大</w:t>
      </w:r>
      <w:r>
        <w:rPr>
          <w:rFonts w:hint="eastAsia" w:asciiTheme="minorEastAsia" w:hAnsiTheme="minorEastAsia" w:cstheme="minorEastAsia"/>
          <w:sz w:val="28"/>
          <w:szCs w:val="28"/>
        </w:rPr>
        <w:t>功能区（数字农业区、生态牧业区、乡村振兴样板区、天赋河套总部商务区、</w:t>
      </w:r>
      <w:r>
        <w:rPr>
          <w:rFonts w:hint="eastAsia" w:asciiTheme="minorEastAsia" w:hAnsiTheme="minorEastAsia" w:cstheme="minorEastAsia"/>
          <w:sz w:val="28"/>
          <w:szCs w:val="28"/>
          <w:lang w:eastAsia="zh-CN"/>
        </w:rPr>
        <w:t>产城融合发展引领区</w:t>
      </w:r>
      <w:r>
        <w:rPr>
          <w:rFonts w:hint="eastAsia" w:asciiTheme="minorEastAsia" w:hAnsiTheme="minorEastAsia" w:cstheme="minorEastAsia"/>
          <w:sz w:val="28"/>
          <w:szCs w:val="28"/>
        </w:rPr>
        <w:t>）尽快完成布局。</w:t>
      </w:r>
    </w:p>
    <w:p>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heme="minorEastAsia" w:hAnsiTheme="minorEastAsia" w:eastAsiaTheme="minorEastAsia" w:cstheme="minorEastAsia"/>
          <w:color w:val="auto"/>
          <w:kern w:val="2"/>
          <w:sz w:val="28"/>
          <w:szCs w:val="28"/>
          <w:lang w:val="en-US" w:eastAsia="zh-CN" w:bidi="ar-SA"/>
        </w:rPr>
      </w:pPr>
      <w:r>
        <w:rPr>
          <w:rFonts w:hint="default" w:asciiTheme="minorEastAsia" w:hAnsiTheme="minorEastAsia" w:eastAsiaTheme="minorEastAsia" w:cstheme="minorEastAsia"/>
          <w:b/>
          <w:bCs/>
          <w:color w:val="auto"/>
          <w:kern w:val="2"/>
          <w:sz w:val="28"/>
          <w:szCs w:val="28"/>
          <w:lang w:val="en-US" w:eastAsia="zh-CN" w:bidi="ar-SA"/>
        </w:rPr>
        <w:t>推动科技成果转移转化示范。</w:t>
      </w:r>
      <w:r>
        <w:rPr>
          <w:rFonts w:hint="default" w:asciiTheme="minorEastAsia" w:hAnsiTheme="minorEastAsia" w:eastAsiaTheme="minorEastAsia" w:cstheme="minorEastAsia"/>
          <w:color w:val="auto"/>
          <w:kern w:val="2"/>
          <w:sz w:val="28"/>
          <w:szCs w:val="28"/>
          <w:lang w:val="en-US" w:eastAsia="zh-CN" w:bidi="ar-SA"/>
        </w:rPr>
        <w:t>健全完善科技成果转移转化服务体系，支持高等院校、科研院所、龙头企业在农高区建设一批技术转移转化中心，建立产学研用合作关系。</w:t>
      </w:r>
      <w:r>
        <w:rPr>
          <w:rFonts w:hint="eastAsia" w:asciiTheme="minorEastAsia" w:hAnsiTheme="minorEastAsia" w:eastAsiaTheme="minorEastAsia" w:cstheme="minorEastAsia"/>
          <w:color w:val="auto"/>
          <w:kern w:val="2"/>
          <w:sz w:val="28"/>
          <w:szCs w:val="28"/>
          <w:lang w:val="en-US" w:eastAsia="zh-CN" w:bidi="ar-SA"/>
        </w:rPr>
        <w:t>围绕主导产业、特色产业发展，转化一批新品种、新技术、新装备、新模式。大力推广</w:t>
      </w:r>
      <w:r>
        <w:rPr>
          <w:rFonts w:hint="default" w:asciiTheme="minorEastAsia" w:hAnsiTheme="minorEastAsia" w:eastAsiaTheme="minorEastAsia" w:cstheme="minorEastAsia"/>
          <w:color w:val="auto"/>
          <w:kern w:val="2"/>
          <w:sz w:val="28"/>
          <w:szCs w:val="28"/>
          <w:lang w:val="en-US" w:eastAsia="zh-CN" w:bidi="ar-SA"/>
        </w:rPr>
        <w:t>“巴麦13号”“华蒙多羔肉羊”等新品种</w:t>
      </w:r>
      <w:r>
        <w:rPr>
          <w:rFonts w:hint="eastAsia" w:asciiTheme="minorEastAsia" w:hAnsiTheme="minorEastAsia" w:eastAsiaTheme="minorEastAsia" w:cstheme="minorEastAsia"/>
          <w:color w:val="auto"/>
          <w:kern w:val="2"/>
          <w:sz w:val="28"/>
          <w:szCs w:val="28"/>
          <w:lang w:val="en-US" w:eastAsia="zh-CN" w:bidi="ar-SA"/>
        </w:rPr>
        <w:t>和</w:t>
      </w:r>
      <w:r>
        <w:rPr>
          <w:rFonts w:hint="default" w:asciiTheme="minorEastAsia" w:hAnsiTheme="minorEastAsia" w:eastAsiaTheme="minorEastAsia" w:cstheme="minorEastAsia"/>
          <w:color w:val="auto"/>
          <w:kern w:val="2"/>
          <w:sz w:val="28"/>
          <w:szCs w:val="28"/>
          <w:lang w:val="en-US" w:eastAsia="zh-CN" w:bidi="ar-SA"/>
        </w:rPr>
        <w:t>移动式引黄直滤水肥一体化滴灌</w:t>
      </w:r>
      <w:r>
        <w:rPr>
          <w:rFonts w:hint="eastAsia" w:asciiTheme="minorEastAsia" w:hAnsiTheme="minorEastAsia" w:eastAsiaTheme="minorEastAsia" w:cstheme="minorEastAsia"/>
          <w:color w:val="auto"/>
          <w:kern w:val="2"/>
          <w:sz w:val="28"/>
          <w:szCs w:val="28"/>
          <w:lang w:val="en-US" w:eastAsia="zh-CN" w:bidi="ar-SA"/>
        </w:rPr>
        <w:t>等新</w:t>
      </w:r>
      <w:r>
        <w:rPr>
          <w:rFonts w:hint="default" w:asciiTheme="minorEastAsia" w:hAnsiTheme="minorEastAsia" w:eastAsiaTheme="minorEastAsia" w:cstheme="minorEastAsia"/>
          <w:color w:val="auto"/>
          <w:kern w:val="2"/>
          <w:sz w:val="28"/>
          <w:szCs w:val="28"/>
          <w:lang w:val="en-US" w:eastAsia="zh-CN" w:bidi="ar-SA"/>
        </w:rPr>
        <w:t>设备</w:t>
      </w:r>
      <w:r>
        <w:rPr>
          <w:rFonts w:hint="eastAsia" w:asciiTheme="minorEastAsia" w:hAnsiTheme="minorEastAsia" w:eastAsiaTheme="minorEastAsia" w:cstheme="minorEastAsia"/>
          <w:color w:val="auto"/>
          <w:kern w:val="2"/>
          <w:sz w:val="28"/>
          <w:szCs w:val="28"/>
          <w:lang w:val="en-US" w:eastAsia="zh-CN" w:bidi="ar-SA"/>
        </w:rPr>
        <w:t>。</w:t>
      </w:r>
      <w:r>
        <w:rPr>
          <w:rFonts w:hint="default" w:asciiTheme="minorEastAsia" w:hAnsiTheme="minorEastAsia" w:eastAsiaTheme="minorEastAsia" w:cstheme="minorEastAsia"/>
          <w:color w:val="auto"/>
          <w:kern w:val="2"/>
          <w:sz w:val="28"/>
          <w:szCs w:val="28"/>
          <w:lang w:val="en-US" w:eastAsia="zh-CN" w:bidi="ar-SA"/>
        </w:rPr>
        <w:t>积极创建自治区科技成果转移转化示范区。发挥</w:t>
      </w:r>
      <w:r>
        <w:rPr>
          <w:rFonts w:hint="eastAsia" w:asciiTheme="minorEastAsia" w:hAnsiTheme="minorEastAsia" w:eastAsiaTheme="minorEastAsia" w:cstheme="minorEastAsia"/>
          <w:color w:val="auto"/>
          <w:kern w:val="2"/>
          <w:sz w:val="28"/>
          <w:szCs w:val="28"/>
          <w:lang w:val="en-US" w:eastAsia="zh-CN" w:bidi="ar-SA"/>
        </w:rPr>
        <w:t>农高区</w:t>
      </w:r>
      <w:r>
        <w:rPr>
          <w:rFonts w:hint="default" w:asciiTheme="minorEastAsia" w:hAnsiTheme="minorEastAsia" w:eastAsiaTheme="minorEastAsia" w:cstheme="minorEastAsia"/>
          <w:color w:val="auto"/>
          <w:kern w:val="2"/>
          <w:sz w:val="28"/>
          <w:szCs w:val="28"/>
          <w:lang w:val="en-US" w:eastAsia="zh-CN" w:bidi="ar-SA"/>
        </w:rPr>
        <w:t>“国家队”作用，逐步在黄河流域西北地区布局示范基地，为科技成果推广转化提供巴彦淖尔方案。</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color w:val="auto"/>
          <w:lang w:val="en-US" w:eastAsia="zh-CN"/>
        </w:rPr>
      </w:pPr>
      <w:r>
        <w:rPr>
          <w:rFonts w:hint="default" w:asciiTheme="minorEastAsia" w:hAnsiTheme="minorEastAsia" w:eastAsiaTheme="minorEastAsia" w:cstheme="minorEastAsia"/>
          <w:b/>
          <w:bCs/>
          <w:color w:val="auto"/>
          <w:kern w:val="2"/>
          <w:sz w:val="28"/>
          <w:szCs w:val="28"/>
          <w:lang w:val="en-US" w:eastAsia="zh-CN" w:bidi="ar-SA"/>
        </w:rPr>
        <w:t>提升</w:t>
      </w:r>
      <w:r>
        <w:rPr>
          <w:rFonts w:hint="eastAsia" w:asciiTheme="minorEastAsia" w:hAnsiTheme="minorEastAsia" w:eastAsiaTheme="minorEastAsia" w:cstheme="minorEastAsia"/>
          <w:b/>
          <w:bCs/>
          <w:color w:val="auto"/>
          <w:kern w:val="2"/>
          <w:sz w:val="28"/>
          <w:szCs w:val="28"/>
          <w:lang w:val="en-US" w:eastAsia="zh-CN" w:bidi="ar-SA"/>
        </w:rPr>
        <w:t>农高区</w:t>
      </w:r>
      <w:r>
        <w:rPr>
          <w:rFonts w:hint="default" w:asciiTheme="minorEastAsia" w:hAnsiTheme="minorEastAsia" w:eastAsiaTheme="minorEastAsia" w:cstheme="minorEastAsia"/>
          <w:b/>
          <w:bCs/>
          <w:color w:val="auto"/>
          <w:kern w:val="2"/>
          <w:sz w:val="28"/>
          <w:szCs w:val="28"/>
          <w:lang w:val="en-US" w:eastAsia="zh-CN" w:bidi="ar-SA"/>
        </w:rPr>
        <w:t>现代农牧服务业水平。</w:t>
      </w:r>
      <w:r>
        <w:rPr>
          <w:rFonts w:hint="default" w:asciiTheme="minorEastAsia" w:hAnsiTheme="minorEastAsia" w:eastAsiaTheme="minorEastAsia" w:cstheme="minorEastAsia"/>
          <w:color w:val="auto"/>
          <w:kern w:val="2"/>
          <w:sz w:val="28"/>
          <w:szCs w:val="28"/>
          <w:lang w:val="en-US" w:eastAsia="zh-CN" w:bidi="ar-SA"/>
        </w:rPr>
        <w:t>完善“天赋河套”总部基地配套服务功能，加快推动科技型中小企业、小微企业入驻孵化和成果转化，为培育高新技术企业提供基础。强化科技信息服务</w:t>
      </w:r>
      <w:r>
        <w:rPr>
          <w:rFonts w:hint="eastAsia" w:asciiTheme="minorEastAsia" w:hAnsiTheme="minorEastAsia" w:eastAsiaTheme="minorEastAsia" w:cstheme="minorEastAsia"/>
          <w:color w:val="auto"/>
          <w:kern w:val="2"/>
          <w:sz w:val="28"/>
          <w:szCs w:val="28"/>
          <w:lang w:val="en-US" w:eastAsia="zh-CN" w:bidi="ar-SA"/>
        </w:rPr>
        <w:t>应用，建设</w:t>
      </w:r>
      <w:r>
        <w:rPr>
          <w:rFonts w:hint="default" w:asciiTheme="minorEastAsia" w:hAnsiTheme="minorEastAsia" w:eastAsiaTheme="minorEastAsia" w:cstheme="minorEastAsia"/>
          <w:color w:val="auto"/>
          <w:kern w:val="2"/>
          <w:sz w:val="28"/>
          <w:szCs w:val="28"/>
          <w:lang w:val="en-US" w:eastAsia="zh-CN" w:bidi="ar-SA"/>
        </w:rPr>
        <w:t>农高区大数据平台</w:t>
      </w:r>
      <w:r>
        <w:rPr>
          <w:rFonts w:hint="eastAsia" w:asciiTheme="minorEastAsia" w:hAnsiTheme="minorEastAsia" w:eastAsiaTheme="minorEastAsia" w:cstheme="minorEastAsia"/>
          <w:color w:val="auto"/>
          <w:kern w:val="2"/>
          <w:sz w:val="28"/>
          <w:szCs w:val="28"/>
          <w:lang w:val="en-US" w:eastAsia="zh-CN" w:bidi="ar-SA"/>
        </w:rPr>
        <w:t>，</w:t>
      </w:r>
      <w:r>
        <w:rPr>
          <w:rFonts w:hint="default" w:asciiTheme="minorEastAsia" w:hAnsiTheme="minorEastAsia" w:eastAsiaTheme="minorEastAsia" w:cstheme="minorEastAsia"/>
          <w:color w:val="auto"/>
          <w:kern w:val="2"/>
          <w:sz w:val="28"/>
          <w:szCs w:val="28"/>
          <w:lang w:val="en-US" w:eastAsia="zh-CN" w:bidi="ar-SA"/>
        </w:rPr>
        <w:t>推进信息技术与农牧业全面深度融合，</w:t>
      </w:r>
      <w:r>
        <w:rPr>
          <w:rFonts w:hint="eastAsia" w:asciiTheme="minorEastAsia" w:hAnsiTheme="minorEastAsia" w:eastAsiaTheme="minorEastAsia" w:cstheme="minorEastAsia"/>
          <w:color w:val="auto"/>
          <w:kern w:val="2"/>
          <w:sz w:val="28"/>
          <w:szCs w:val="28"/>
          <w:lang w:val="en-US" w:eastAsia="zh-CN" w:bidi="ar-SA"/>
        </w:rPr>
        <w:t>实现管理服务信息化。</w:t>
      </w:r>
      <w:r>
        <w:rPr>
          <w:rFonts w:hint="default" w:asciiTheme="minorEastAsia" w:hAnsiTheme="minorEastAsia" w:eastAsiaTheme="minorEastAsia" w:cstheme="minorEastAsia"/>
          <w:color w:val="auto"/>
          <w:kern w:val="2"/>
          <w:sz w:val="28"/>
          <w:szCs w:val="28"/>
          <w:lang w:val="en-US" w:eastAsia="zh-CN" w:bidi="ar-SA"/>
        </w:rPr>
        <w:t>建设农高区技术转移交易、农业知识产权交易等平台，发展农业新型科技服务业。依托国家骨干冷链物流基地，建成仓储、配送、商贸一体化运营基地，打通巴彦淖尔发送全国的冷链流通网络。依托“天赋河套”总部基地，加强与品牌电商战略合作，做大做强农高区电商平台</w:t>
      </w:r>
      <w:r>
        <w:rPr>
          <w:rFonts w:hint="eastAsia" w:asciiTheme="minorEastAsia" w:hAnsiTheme="minorEastAsia" w:eastAsiaTheme="minorEastAsia" w:cstheme="minorEastAsia"/>
          <w:color w:val="auto"/>
          <w:kern w:val="2"/>
          <w:sz w:val="28"/>
          <w:szCs w:val="28"/>
          <w:lang w:val="en-US" w:eastAsia="zh-CN" w:bidi="ar-SA"/>
        </w:rPr>
        <w:t>。大力发展专业合作社和家庭农牧场，全面提升农业社会化服务水平。</w:t>
      </w:r>
      <w:r>
        <w:rPr>
          <w:rFonts w:hint="default" w:asciiTheme="minorEastAsia" w:hAnsiTheme="minorEastAsia" w:eastAsiaTheme="minorEastAsia" w:cstheme="minorEastAsia"/>
          <w:color w:val="auto"/>
          <w:kern w:val="2"/>
          <w:sz w:val="28"/>
          <w:szCs w:val="28"/>
          <w:lang w:val="en-US" w:eastAsia="zh-CN" w:bidi="ar-SA"/>
        </w:rPr>
        <w:t>积极推动农文旅深度融合发展，拓展农高区的生态价值、文化价值，积极发展田园养生、研学科普、农耕体验、休闲观光等新业态。</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color w:val="auto"/>
        </w:rPr>
      </w:pPr>
      <w:r>
        <w:rPr>
          <w:rFonts w:hint="default" w:asciiTheme="minorEastAsia" w:hAnsiTheme="minorEastAsia" w:eastAsiaTheme="minorEastAsia" w:cstheme="minorEastAsia"/>
          <w:b/>
          <w:bCs/>
          <w:color w:val="auto"/>
          <w:kern w:val="2"/>
          <w:sz w:val="28"/>
          <w:szCs w:val="28"/>
          <w:lang w:val="en-US" w:eastAsia="zh-CN" w:bidi="ar-SA"/>
        </w:rPr>
        <w:t>加强国际农业科技合作交流。</w:t>
      </w:r>
      <w:r>
        <w:rPr>
          <w:rFonts w:hint="default" w:asciiTheme="minorEastAsia" w:hAnsiTheme="minorEastAsia" w:eastAsiaTheme="minorEastAsia" w:cstheme="minorEastAsia"/>
          <w:color w:val="auto"/>
          <w:kern w:val="2"/>
          <w:sz w:val="28"/>
          <w:szCs w:val="28"/>
          <w:lang w:val="en-US" w:eastAsia="zh-CN" w:bidi="ar-SA"/>
        </w:rPr>
        <w:t>加强与美国、以色列、俄罗斯等国家开展科技合作，引进农业先进技术在农高区转移示范，建设一批中外合作</w:t>
      </w:r>
      <w:r>
        <w:rPr>
          <w:rFonts w:hint="eastAsia" w:asciiTheme="minorEastAsia" w:hAnsiTheme="minorEastAsia" w:eastAsiaTheme="minorEastAsia" w:cstheme="minorEastAsia"/>
          <w:color w:val="auto"/>
          <w:kern w:val="2"/>
          <w:sz w:val="28"/>
          <w:szCs w:val="28"/>
          <w:lang w:val="en-US" w:eastAsia="zh-CN" w:bidi="ar-SA"/>
        </w:rPr>
        <w:t>科技</w:t>
      </w:r>
      <w:r>
        <w:rPr>
          <w:rFonts w:hint="default" w:asciiTheme="minorEastAsia" w:hAnsiTheme="minorEastAsia" w:eastAsiaTheme="minorEastAsia" w:cstheme="minorEastAsia"/>
          <w:color w:val="auto"/>
          <w:kern w:val="2"/>
          <w:sz w:val="28"/>
          <w:szCs w:val="28"/>
          <w:lang w:val="en-US" w:eastAsia="zh-CN" w:bidi="ar-SA"/>
        </w:rPr>
        <w:t>园区。支持农高区企业在海外</w:t>
      </w:r>
      <w:r>
        <w:rPr>
          <w:rFonts w:hint="eastAsia" w:asciiTheme="minorEastAsia" w:hAnsiTheme="minorEastAsia" w:eastAsiaTheme="minorEastAsia" w:cstheme="minorEastAsia"/>
          <w:color w:val="auto"/>
          <w:kern w:val="2"/>
          <w:sz w:val="28"/>
          <w:szCs w:val="28"/>
          <w:lang w:val="en-US" w:eastAsia="zh-CN" w:bidi="ar-SA"/>
        </w:rPr>
        <w:t>建立研发中心和产业示范</w:t>
      </w:r>
      <w:r>
        <w:rPr>
          <w:rFonts w:hint="default" w:asciiTheme="minorEastAsia" w:hAnsiTheme="minorEastAsia" w:eastAsiaTheme="minorEastAsia" w:cstheme="minorEastAsia"/>
          <w:color w:val="auto"/>
          <w:kern w:val="2"/>
          <w:sz w:val="28"/>
          <w:szCs w:val="28"/>
          <w:lang w:val="en-US" w:eastAsia="zh-CN" w:bidi="ar-SA"/>
        </w:rPr>
        <w:t>基地。</w:t>
      </w:r>
      <w:r>
        <w:rPr>
          <w:rFonts w:hint="eastAsia" w:asciiTheme="minorEastAsia" w:hAnsiTheme="minorEastAsia" w:eastAsiaTheme="minorEastAsia" w:cstheme="minorEastAsia"/>
          <w:color w:val="auto"/>
          <w:kern w:val="2"/>
          <w:sz w:val="28"/>
          <w:szCs w:val="28"/>
          <w:lang w:val="en-US" w:eastAsia="zh-CN" w:bidi="ar-SA"/>
        </w:rPr>
        <w:t>发挥</w:t>
      </w:r>
      <w:r>
        <w:rPr>
          <w:rFonts w:hint="default" w:asciiTheme="minorEastAsia" w:hAnsiTheme="minorEastAsia" w:eastAsiaTheme="minorEastAsia" w:cstheme="minorEastAsia"/>
          <w:color w:val="auto"/>
          <w:kern w:val="2"/>
          <w:sz w:val="28"/>
          <w:szCs w:val="28"/>
          <w:lang w:val="en-US" w:eastAsia="zh-CN" w:bidi="ar-SA"/>
        </w:rPr>
        <w:t>保税物流中心（B）型</w:t>
      </w:r>
      <w:r>
        <w:rPr>
          <w:rFonts w:hint="eastAsia" w:asciiTheme="minorEastAsia" w:hAnsiTheme="minorEastAsia" w:eastAsiaTheme="minorEastAsia" w:cstheme="minorEastAsia"/>
          <w:color w:val="auto"/>
          <w:kern w:val="2"/>
          <w:sz w:val="28"/>
          <w:szCs w:val="28"/>
          <w:lang w:val="en-US" w:eastAsia="zh-CN" w:bidi="ar-SA"/>
        </w:rPr>
        <w:t>作用，</w:t>
      </w:r>
      <w:r>
        <w:rPr>
          <w:rFonts w:hint="default" w:asciiTheme="minorEastAsia" w:hAnsiTheme="minorEastAsia" w:eastAsiaTheme="minorEastAsia" w:cstheme="minorEastAsia"/>
          <w:color w:val="auto"/>
          <w:kern w:val="2"/>
          <w:sz w:val="28"/>
          <w:szCs w:val="28"/>
          <w:lang w:val="en-US" w:eastAsia="zh-CN" w:bidi="ar-SA"/>
        </w:rPr>
        <w:t>依托中欧班列，加大羊肉、向日葵等产品出口力度，增强优质农畜产品供给对国际市场需求的适配性。发挥本土农机装备制造技术优势，加大智能农机装备出口力度，</w:t>
      </w:r>
      <w:r>
        <w:rPr>
          <w:rFonts w:hint="eastAsia" w:asciiTheme="minorEastAsia" w:hAnsiTheme="minorEastAsia" w:eastAsiaTheme="minorEastAsia" w:cstheme="minorEastAsia"/>
          <w:color w:val="auto"/>
          <w:kern w:val="2"/>
          <w:sz w:val="28"/>
          <w:szCs w:val="28"/>
          <w:lang w:val="en-US" w:eastAsia="zh-CN" w:bidi="ar-SA"/>
        </w:rPr>
        <w:t>加快</w:t>
      </w:r>
      <w:r>
        <w:rPr>
          <w:rFonts w:hint="eastAsia" w:asciiTheme="minorEastAsia" w:hAnsiTheme="minorEastAsia" w:cstheme="minorEastAsia"/>
          <w:color w:val="auto"/>
          <w:kern w:val="2"/>
          <w:sz w:val="28"/>
          <w:szCs w:val="28"/>
          <w:lang w:val="en-US" w:eastAsia="zh-CN" w:bidi="ar-SA"/>
        </w:rPr>
        <w:t>推动</w:t>
      </w:r>
      <w:r>
        <w:rPr>
          <w:rFonts w:hint="default" w:asciiTheme="minorEastAsia" w:hAnsiTheme="minorEastAsia" w:eastAsiaTheme="minorEastAsia" w:cstheme="minorEastAsia"/>
          <w:color w:val="auto"/>
          <w:kern w:val="2"/>
          <w:sz w:val="28"/>
          <w:szCs w:val="28"/>
          <w:lang w:val="en-US" w:eastAsia="zh-CN" w:bidi="ar-SA"/>
        </w:rPr>
        <w:t>建设跨境电商产业园。</w:t>
      </w:r>
    </w:p>
    <w:p>
      <w:pPr>
        <w:spacing w:line="520" w:lineRule="exact"/>
        <w:ind w:firstLine="600" w:firstLineChars="200"/>
        <w:rPr>
          <w:rFonts w:ascii="黑体" w:hAnsi="黑体" w:eastAsia="黑体" w:cs="黑体"/>
          <w:sz w:val="30"/>
          <w:szCs w:val="30"/>
        </w:rPr>
      </w:pPr>
      <w:bookmarkStart w:id="34" w:name="_Toc83540940"/>
      <w:bookmarkStart w:id="35" w:name="_Toc2478"/>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扎实推进科技园区</w:t>
      </w:r>
      <w:r>
        <w:rPr>
          <w:rFonts w:hint="eastAsia" w:ascii="黑体" w:hAnsi="黑体" w:eastAsia="黑体" w:cs="黑体"/>
          <w:sz w:val="30"/>
          <w:szCs w:val="30"/>
          <w:lang w:eastAsia="zh-CN"/>
        </w:rPr>
        <w:t>、基地</w:t>
      </w:r>
      <w:r>
        <w:rPr>
          <w:rFonts w:hint="eastAsia" w:ascii="黑体" w:hAnsi="黑体" w:eastAsia="黑体" w:cs="黑体"/>
          <w:sz w:val="30"/>
          <w:szCs w:val="30"/>
        </w:rPr>
        <w:t>建设与优化布局</w:t>
      </w:r>
      <w:bookmarkEnd w:id="34"/>
      <w:bookmarkEnd w:id="35"/>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改善园区</w:t>
      </w:r>
      <w:r>
        <w:rPr>
          <w:rFonts w:hint="eastAsia" w:asciiTheme="minorEastAsia" w:hAnsiTheme="minorEastAsia" w:cstheme="minorEastAsia"/>
          <w:b/>
          <w:sz w:val="28"/>
          <w:szCs w:val="28"/>
          <w:lang w:eastAsia="zh-CN"/>
        </w:rPr>
        <w:t>、基地</w:t>
      </w:r>
      <w:r>
        <w:rPr>
          <w:rFonts w:hint="eastAsia" w:asciiTheme="minorEastAsia" w:hAnsiTheme="minorEastAsia" w:cstheme="minorEastAsia"/>
          <w:b/>
          <w:sz w:val="28"/>
          <w:szCs w:val="28"/>
        </w:rPr>
        <w:t>发展环境。</w:t>
      </w:r>
      <w:r>
        <w:rPr>
          <w:rFonts w:hint="eastAsia" w:asciiTheme="minorEastAsia" w:hAnsiTheme="minorEastAsia" w:cstheme="minorEastAsia"/>
          <w:sz w:val="28"/>
          <w:szCs w:val="28"/>
        </w:rPr>
        <w:t>全力推进我市各级各类科技园区、基地产业升级和功能扩容，大力开展科技园区“促优培育”“提质进位”行动，进一步完善园区、基地内产业集聚、产业链衔接、产业功能配套，通过政府引导、政策激励、招商引资、企业投入、农民入股等形式，显著改善园区、基地产业发展环境。鼓励</w:t>
      </w:r>
      <w:r>
        <w:rPr>
          <w:rFonts w:hint="eastAsia" w:asciiTheme="minorEastAsia" w:hAnsiTheme="minorEastAsia" w:cstheme="minorEastAsia"/>
          <w:sz w:val="28"/>
          <w:szCs w:val="28"/>
          <w:lang w:eastAsia="zh-CN"/>
        </w:rPr>
        <w:t>各级各类</w:t>
      </w:r>
      <w:r>
        <w:rPr>
          <w:rFonts w:hint="eastAsia" w:asciiTheme="minorEastAsia" w:hAnsiTheme="minorEastAsia" w:cstheme="minorEastAsia"/>
          <w:sz w:val="28"/>
          <w:szCs w:val="28"/>
        </w:rPr>
        <w:t>科技园区壮大特色产业集群，通过开展科技合作和招商引资、引智吸引科研机构、高等院校和科技型企业参与园区基地开展关键技术攻关和科技成果转移转化，推动园区形成稳定的技术支撑。吸引区内外科技型企业进入园区、基地建立研发合作基地。对入驻园区的行业龙头企业、“瞪羚”企业、“</w:t>
      </w:r>
      <w:r>
        <w:rPr>
          <w:rFonts w:hint="eastAsia" w:asciiTheme="minorEastAsia" w:hAnsiTheme="minorEastAsia" w:cstheme="minorEastAsia"/>
          <w:sz w:val="28"/>
          <w:szCs w:val="28"/>
          <w:lang w:eastAsia="zh-CN"/>
        </w:rPr>
        <w:t>专精特新</w:t>
      </w:r>
      <w:r>
        <w:rPr>
          <w:rFonts w:hint="eastAsia" w:asciiTheme="minorEastAsia" w:hAnsiTheme="minorEastAsia" w:cstheme="minorEastAsia"/>
          <w:sz w:val="28"/>
          <w:szCs w:val="28"/>
        </w:rPr>
        <w:t>”企业予以重点扶持。</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优化科技园区专业布局</w:t>
      </w:r>
      <w:r>
        <w:rPr>
          <w:rFonts w:hint="eastAsia" w:asciiTheme="minorEastAsia" w:hAnsiTheme="minorEastAsia" w:cstheme="minorEastAsia"/>
          <w:sz w:val="28"/>
          <w:szCs w:val="28"/>
        </w:rPr>
        <w:t>。统筹考虑全市</w:t>
      </w:r>
      <w:r>
        <w:rPr>
          <w:rFonts w:hint="eastAsia" w:asciiTheme="minorEastAsia" w:hAnsiTheme="minorEastAsia" w:cstheme="minorEastAsia"/>
          <w:spacing w:val="-6"/>
          <w:sz w:val="28"/>
          <w:szCs w:val="28"/>
        </w:rPr>
        <w:t>不同类型科技园区、基地专业布局和地域分布，优先布局一批低碳园区、零碳园区。支持建设农业生产标准化综合科技示范园区、农业生产高质量发展科技示范园区。加快建设黄河流域西北地区种质基因库和现代种业产业园，构建“一区多园N基地”格局。支持与中国农业科学院、中国农业大学、江南大学、西北农林科技大学、内蒙古农牧业科学院等在我市围绕建设“两</w:t>
      </w:r>
      <w:r>
        <w:rPr>
          <w:rFonts w:hint="eastAsia" w:asciiTheme="minorEastAsia" w:hAnsiTheme="minorEastAsia" w:cstheme="minorEastAsia"/>
          <w:spacing w:val="-6"/>
          <w:sz w:val="28"/>
          <w:szCs w:val="28"/>
          <w:lang w:eastAsia="zh-CN"/>
        </w:rPr>
        <w:t>个</w:t>
      </w:r>
      <w:r>
        <w:rPr>
          <w:rFonts w:hint="eastAsia" w:asciiTheme="minorEastAsia" w:hAnsiTheme="minorEastAsia" w:cstheme="minorEastAsia"/>
          <w:spacing w:val="-6"/>
          <w:sz w:val="28"/>
          <w:szCs w:val="28"/>
        </w:rPr>
        <w:t>基地”、“四</w:t>
      </w:r>
      <w:r>
        <w:rPr>
          <w:rFonts w:hint="eastAsia" w:asciiTheme="minorEastAsia" w:hAnsiTheme="minorEastAsia" w:cstheme="minorEastAsia"/>
          <w:spacing w:val="-6"/>
          <w:sz w:val="28"/>
          <w:szCs w:val="28"/>
          <w:lang w:eastAsia="zh-CN"/>
        </w:rPr>
        <w:t>个产业</w:t>
      </w:r>
      <w:r>
        <w:rPr>
          <w:rFonts w:hint="eastAsia" w:asciiTheme="minorEastAsia" w:hAnsiTheme="minorEastAsia" w:cstheme="minorEastAsia"/>
          <w:spacing w:val="-6"/>
          <w:sz w:val="28"/>
          <w:szCs w:val="28"/>
        </w:rPr>
        <w:t>集群”，联合创建科技合作平台，为“天赋河套”仓储保鲜冷链物流园区、巴彦淖尔国家骨干冷链物流基地项目提供科技解决方案。到2025年，全市自治区级以上农业科技园区达到7家，市级农业科技园区达到20家，每年引进、示范、推广、转化新品种、新技术、新装备200项以上</w:t>
      </w:r>
      <w:r>
        <w:rPr>
          <w:rFonts w:hint="eastAsia" w:asciiTheme="minorEastAsia" w:hAnsiTheme="minorEastAsia" w:cstheme="minorEastAsia"/>
          <w:sz w:val="28"/>
          <w:szCs w:val="28"/>
        </w:rPr>
        <w:t>。</w:t>
      </w:r>
    </w:p>
    <w:p>
      <w:pPr>
        <w:spacing w:line="520" w:lineRule="exact"/>
        <w:ind w:firstLine="560" w:firstLineChars="200"/>
        <w:rPr>
          <w:rFonts w:asciiTheme="minorEastAsia" w:hAnsiTheme="minorEastAsia" w:cstheme="minorEastAsia"/>
          <w:sz w:val="28"/>
          <w:szCs w:val="28"/>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spacing w:beforeLines="50" w:line="520" w:lineRule="exact"/>
              <w:ind w:left="210" w:leftChars="100" w:right="210" w:rightChars="100"/>
              <w:jc w:val="center"/>
              <w:rPr>
                <w:rFonts w:ascii="幼圆" w:eastAsia="幼圆"/>
                <w:b/>
                <w:sz w:val="24"/>
                <w:szCs w:val="24"/>
              </w:rPr>
            </w:pPr>
            <w:bookmarkStart w:id="36" w:name="_Toc83540941"/>
            <w:r>
              <w:rPr>
                <w:rFonts w:hint="eastAsia" w:ascii="幼圆" w:eastAsia="幼圆"/>
                <w:b/>
                <w:sz w:val="24"/>
                <w:szCs w:val="24"/>
              </w:rPr>
              <w:t>专栏3  科技园区基地建设重点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numPr>
                <w:ilvl w:val="0"/>
                <w:numId w:val="0"/>
              </w:numPr>
              <w:spacing w:line="480" w:lineRule="exact"/>
              <w:ind w:left="218" w:leftChars="104" w:right="210" w:rightChars="100" w:firstLine="481" w:firstLineChars="200"/>
              <w:rPr>
                <w:rFonts w:hint="eastAsia" w:asciiTheme="minorEastAsia" w:hAnsiTheme="minorEastAsia" w:cstheme="minorEastAsia"/>
                <w:sz w:val="24"/>
                <w:szCs w:val="24"/>
              </w:rPr>
            </w:pPr>
            <w:r>
              <w:rPr>
                <w:rFonts w:hint="eastAsia" w:asciiTheme="minorEastAsia" w:hAnsiTheme="minorEastAsia" w:cstheme="minorEastAsia"/>
                <w:b/>
                <w:sz w:val="24"/>
                <w:szCs w:val="24"/>
                <w:lang w:val="en-US" w:eastAsia="zh-CN"/>
              </w:rPr>
              <w:t>1、</w:t>
            </w:r>
            <w:r>
              <w:rPr>
                <w:rFonts w:hint="eastAsia" w:asciiTheme="minorEastAsia" w:hAnsiTheme="minorEastAsia" w:cstheme="minorEastAsia"/>
                <w:b/>
                <w:sz w:val="24"/>
                <w:szCs w:val="24"/>
              </w:rPr>
              <w:t>巴彦淖尔国家农业高新技术产业示范区。</w:t>
            </w:r>
            <w:r>
              <w:rPr>
                <w:rFonts w:hint="eastAsia" w:asciiTheme="minorEastAsia" w:hAnsiTheme="minorEastAsia" w:cstheme="minorEastAsia"/>
                <w:sz w:val="24"/>
                <w:szCs w:val="24"/>
              </w:rPr>
              <w:t>以“河套灌区生态农牧业”为主题，以硬质小麦</w:t>
            </w:r>
            <w:r>
              <w:rPr>
                <w:rFonts w:hint="eastAsia" w:asciiTheme="minorEastAsia" w:hAnsiTheme="minorEastAsia" w:cstheme="minorEastAsia"/>
                <w:sz w:val="24"/>
                <w:szCs w:val="24"/>
                <w:lang w:eastAsia="zh-CN"/>
              </w:rPr>
              <w:t>和</w:t>
            </w:r>
            <w:r>
              <w:rPr>
                <w:rFonts w:hint="eastAsia" w:asciiTheme="minorEastAsia" w:hAnsiTheme="minorEastAsia" w:cstheme="minorEastAsia"/>
                <w:sz w:val="24"/>
                <w:szCs w:val="24"/>
              </w:rPr>
              <w:t>肉羊为主导产业，努力建设全国生态农牧业科技创新发展引领区、“一带一路”农牧业科技合作先行区、农村一二三产业融合发展样板区，在黄河流域西北地区推动硬质小麦和肉羊创新发展、打造特色生态农牧产业集群、引领生态农牧业高质量发展等方面探索示范，努力创造出可复制、可推广的经验。</w:t>
            </w:r>
          </w:p>
          <w:p>
            <w:pPr>
              <w:numPr>
                <w:ilvl w:val="0"/>
                <w:numId w:val="0"/>
              </w:numPr>
              <w:spacing w:line="480" w:lineRule="exact"/>
              <w:ind w:left="218" w:leftChars="104"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2、黄河流域西北地区种质基因库和现代种业产业园</w:t>
            </w:r>
            <w:r>
              <w:rPr>
                <w:rFonts w:hint="eastAsia" w:asciiTheme="minorEastAsia" w:hAnsiTheme="minorEastAsia" w:cstheme="minorEastAsia"/>
                <w:sz w:val="24"/>
                <w:szCs w:val="24"/>
              </w:rPr>
              <w:t>。加快完善黄河流域西北地区种质基因库和现代种业产业园创新功能，加快布局完善小麦、玉米、向日葵、沙生植物、瓜果蔬菜等专项产业园和巴美肉羊、湖羊、河套大耳猪、戈壁红驼、华莱士瓜等良种繁育基地，构建种质资源选育利用技术体系和种质资源大数据平台，完成10万份种质资源选育、收集、入库、保存，10万份土壤样品收集保存基本任务，推进种业育繁推一体化发展。</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3、国家农业技术集成创新示范基地。</w:t>
            </w:r>
            <w:r>
              <w:rPr>
                <w:rFonts w:hint="eastAsia" w:asciiTheme="minorEastAsia" w:hAnsiTheme="minorEastAsia" w:cstheme="minorEastAsia"/>
                <w:sz w:val="24"/>
                <w:szCs w:val="24"/>
              </w:rPr>
              <w:t>依托全国农技中心，在杭锦后旗建设国家农业技术集成创新示范基地，着力打造绿色农业投入品擂台区、关键绿色技术研发区、全程绿色生产技术展示区、优质特色功能农业试验示范区等功能区，形成国家农业绿色发展先行先试杭锦后旗模式，全面打造我市全国农业科技现代化先行县。</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4、杭锦后旗10万头奶牛生态乳业园区。</w:t>
            </w:r>
            <w:r>
              <w:rPr>
                <w:rFonts w:hint="eastAsia" w:asciiTheme="minorEastAsia" w:hAnsiTheme="minorEastAsia" w:cstheme="minorEastAsia"/>
                <w:sz w:val="24"/>
                <w:szCs w:val="24"/>
              </w:rPr>
              <w:t>依托伊利集团，在杭锦后旗集中建设集绿色环保、园林生态、农旅观光、人文科技、科研示范、现代化生产、智慧化管理于一体的现代奶牛高效养殖示范园，通过采用433建设模式，实现奶牛高效养殖“四统一”（即统一设计理念，建设伊利公司A类标准化牧场；统一饲养规范，精确制定营养方案、饲养管理规范；统一疫病防控；统一大数据管理）；“三集中”（即污水、粪便、病死畜集中无害化处理和资源化利用）；“三共享”（即共享财政金融保险优惠政策和“一站式”服务；共享园区场公司、牛公司、草公司和动物医院等专业化公共服务；共享奶业小镇的公共服务），并配合“奶业小镇”建设，发展农旅观光产业，形成“种养加、农文旅”百亿元产值产业集群，带动农民念牛经、发牛财，实现经济效益、生态效益和社会效益共赢。</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lang w:val="en-US" w:eastAsia="zh-CN"/>
              </w:rPr>
              <w:t>5</w:t>
            </w:r>
            <w:r>
              <w:rPr>
                <w:rFonts w:hint="eastAsia" w:asciiTheme="minorEastAsia" w:hAnsiTheme="minorEastAsia" w:cstheme="minorEastAsia"/>
                <w:b/>
                <w:sz w:val="24"/>
                <w:szCs w:val="24"/>
              </w:rPr>
              <w:t>、河套灌区智慧灌排系统示范基地。</w:t>
            </w:r>
            <w:r>
              <w:rPr>
                <w:rFonts w:hint="eastAsia" w:asciiTheme="minorEastAsia" w:hAnsiTheme="minorEastAsia" w:cstheme="minorEastAsia"/>
                <w:sz w:val="24"/>
                <w:szCs w:val="24"/>
              </w:rPr>
              <w:t>积极引进中国农业大学人才团队和技术力量，通过合作建立中国农业大学河套灌区研究院，与内蒙古河套灌区水利发展中心永济分中心永济实验站，联合建设河套灌区智慧灌排系统示范基地，集中开展渠系精准测量和智能测量技术与装备、灌区输配水系统数据感知—采集—精准控制技术、水源环境信息立体监测网点优化布局技术示范应用，为灌区渠系输配水效率的提升、排水系统优化升级、促进建成新型智慧灌排系统提供系统解决方案。</w:t>
            </w:r>
          </w:p>
          <w:p>
            <w:pPr>
              <w:spacing w:line="480" w:lineRule="exact"/>
              <w:ind w:left="210" w:leftChars="100" w:right="210" w:rightChars="100" w:firstLine="481" w:firstLineChars="200"/>
              <w:rPr>
                <w:rFonts w:ascii="幼圆" w:eastAsia="幼圆"/>
                <w:b/>
                <w:sz w:val="24"/>
                <w:szCs w:val="24"/>
              </w:rPr>
            </w:pPr>
            <w:r>
              <w:rPr>
                <w:rFonts w:hint="eastAsia" w:asciiTheme="minorEastAsia" w:hAnsiTheme="minorEastAsia" w:cstheme="minorEastAsia"/>
                <w:b/>
                <w:sz w:val="24"/>
                <w:szCs w:val="24"/>
                <w:lang w:val="en-US" w:eastAsia="zh-CN"/>
              </w:rPr>
              <w:t>6</w:t>
            </w:r>
            <w:r>
              <w:rPr>
                <w:rFonts w:hint="eastAsia" w:asciiTheme="minorEastAsia" w:hAnsiTheme="minorEastAsia" w:cstheme="minorEastAsia"/>
                <w:b/>
                <w:sz w:val="24"/>
                <w:szCs w:val="24"/>
              </w:rPr>
              <w:t>、巴彦淖尔市乌兰布和沙区产业示范园</w:t>
            </w:r>
            <w:r>
              <w:rPr>
                <w:rFonts w:hint="eastAsia" w:asciiTheme="minorEastAsia" w:hAnsiTheme="minorEastAsia" w:cstheme="minorEastAsia"/>
                <w:sz w:val="24"/>
                <w:szCs w:val="24"/>
              </w:rPr>
              <w:t>。按照国家、自治区和全市黄河流域生态保护和绿色高质量发展规划、实施方案，突出乌兰布和沙区生态第一，生态与阶级相结合的原则，完成产业示范园整体布局规划，形成设施产业示范园区、沙草产业示范园区、防沙治沙科技示范园区、生态文明教育示范基地空间布局，全面构建乌兰布和沙漠综合治理技术体系。</w:t>
            </w:r>
          </w:p>
        </w:tc>
      </w:tr>
    </w:tbl>
    <w:p>
      <w:pPr>
        <w:spacing w:line="520" w:lineRule="exact"/>
        <w:ind w:firstLine="600" w:firstLineChars="200"/>
        <w:rPr>
          <w:rFonts w:ascii="黑体" w:hAnsi="黑体" w:eastAsia="黑体" w:cs="黑体"/>
          <w:sz w:val="30"/>
          <w:szCs w:val="30"/>
        </w:rPr>
      </w:pPr>
      <w:bookmarkStart w:id="37" w:name="_Toc11223"/>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第三节  提升创新平台建设水平</w:t>
      </w:r>
      <w:bookmarkEnd w:id="36"/>
      <w:bookmarkEnd w:id="37"/>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对接国家、自治区科技创新平台（基地）战略布局和功能定位，以国家农高区为核心，实施平台功能扩充和技术（装备）升级。</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科学与工程研究平台。</w:t>
      </w:r>
      <w:r>
        <w:rPr>
          <w:rFonts w:hint="eastAsia" w:asciiTheme="minorEastAsia" w:hAnsiTheme="minorEastAsia" w:cstheme="minorEastAsia"/>
          <w:sz w:val="28"/>
          <w:szCs w:val="28"/>
        </w:rPr>
        <w:t>支持战略目标明确、产业关联度高、资源整合能力强的企业、科研机构、高等院校，联合区内外创新力量，组建重点实验室、技术创新中心、工程研究中心、野外科学观测研究站。面向重大临床需求、重点疾病防控需求和健康产业发展需要，依托优势医疗机构、院校创建临床医学研究中心。“十四五”期间择优推荐向自治区级进位。</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成果转化与技术转移服务平台</w:t>
      </w:r>
      <w:r>
        <w:rPr>
          <w:rFonts w:hint="eastAsia" w:asciiTheme="minorEastAsia" w:hAnsiTheme="minorEastAsia" w:cstheme="minorEastAsia"/>
          <w:b/>
          <w:spacing w:val="-11"/>
          <w:sz w:val="28"/>
          <w:szCs w:val="28"/>
        </w:rPr>
        <w:t>。</w:t>
      </w:r>
      <w:r>
        <w:rPr>
          <w:rFonts w:hint="eastAsia" w:asciiTheme="minorEastAsia" w:hAnsiTheme="minorEastAsia" w:cstheme="minorEastAsia"/>
          <w:spacing w:val="-11"/>
          <w:sz w:val="28"/>
          <w:szCs w:val="28"/>
        </w:rPr>
        <w:t>支持以企业为主导，产学研联合建设科技成果转移转化示范基地，或以现有科技成果转化中心为骨干，整合重组一批行业推广中心和成果转化平台。创建科技大市场和专业化技术转移服务机构，发展技术经纪人队伍，支持建设“科技小院+星创天地+科技特派员+产业园区”成果转化应用体系。拓展技术合同认定登记机构布局，到2025年，技术合同认定登记点旗县区达到5个以上。</w:t>
      </w:r>
    </w:p>
    <w:p>
      <w:pPr>
        <w:spacing w:line="520" w:lineRule="exact"/>
        <w:ind w:firstLine="562" w:firstLineChars="200"/>
        <w:rPr>
          <w:rFonts w:asciiTheme="minorEastAsia" w:hAnsiTheme="minorEastAsia" w:cstheme="minorEastAsia"/>
          <w:spacing w:val="-6"/>
          <w:sz w:val="28"/>
          <w:szCs w:val="28"/>
        </w:rPr>
      </w:pPr>
      <w:r>
        <w:rPr>
          <w:rFonts w:hint="eastAsia" w:asciiTheme="minorEastAsia" w:hAnsiTheme="minorEastAsia" w:cstheme="minorEastAsia"/>
          <w:b/>
          <w:sz w:val="28"/>
          <w:szCs w:val="28"/>
        </w:rPr>
        <w:t>院士专家工作站与产业技术创新战略联盟。</w:t>
      </w:r>
      <w:r>
        <w:rPr>
          <w:rFonts w:hint="eastAsia" w:asciiTheme="minorEastAsia" w:hAnsiTheme="minorEastAsia" w:cstheme="minorEastAsia"/>
          <w:sz w:val="28"/>
          <w:szCs w:val="28"/>
        </w:rPr>
        <w:t>支持院士专家工作站建设与发展，做好建站规划和院士专家选聘，推行“院士—项目—团队—产业”工</w:t>
      </w:r>
      <w:r>
        <w:rPr>
          <w:rFonts w:hint="eastAsia" w:asciiTheme="minorEastAsia" w:hAnsiTheme="minorEastAsia" w:cstheme="minorEastAsia"/>
          <w:spacing w:val="-6"/>
          <w:sz w:val="28"/>
          <w:szCs w:val="28"/>
        </w:rPr>
        <w:t>作站运行模式。建设认定一定数量的博士科研工作站。鼓励企业组建或积极参与产业技术创新战略联盟，协同突破产业发展技术瓶颈。</w:t>
      </w:r>
    </w:p>
    <w:p>
      <w:pPr>
        <w:spacing w:line="520" w:lineRule="exact"/>
        <w:ind w:firstLine="536" w:firstLineChars="200"/>
        <w:rPr>
          <w:rFonts w:asciiTheme="minorEastAsia" w:hAnsiTheme="minorEastAsia" w:cstheme="minorEastAsia"/>
          <w:spacing w:val="-6"/>
          <w:sz w:val="28"/>
          <w:szCs w:val="28"/>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widowControl/>
              <w:spacing w:beforeLines="50" w:afterLines="50" w:line="520" w:lineRule="exact"/>
              <w:ind w:left="210" w:leftChars="100" w:right="210" w:rightChars="100"/>
              <w:jc w:val="center"/>
              <w:rPr>
                <w:rFonts w:ascii="幼圆" w:eastAsia="幼圆"/>
                <w:b/>
                <w:sz w:val="24"/>
                <w:szCs w:val="24"/>
              </w:rPr>
            </w:pPr>
            <w:r>
              <w:rPr>
                <w:rFonts w:hint="eastAsia" w:ascii="幼圆" w:eastAsia="幼圆"/>
                <w:b/>
                <w:sz w:val="24"/>
                <w:szCs w:val="24"/>
              </w:rPr>
              <w:t>专栏4  创新平台载体建设与布局重点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1、肉羊技术创新中心。</w:t>
            </w:r>
            <w:r>
              <w:rPr>
                <w:rFonts w:hint="eastAsia" w:asciiTheme="minorEastAsia" w:hAnsiTheme="minorEastAsia" w:cstheme="minorEastAsia"/>
                <w:sz w:val="24"/>
                <w:szCs w:val="24"/>
              </w:rPr>
              <w:t>联合中国农业大学、内蒙古农业大学等高校和研究院所，共同建设肉羊技术创新中心，重点开展羊副产品高值化应用研究，提升肉羊屠宰加工生产工艺技术水平，拓展肉羊养殖、屠宰、加工产业链。</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2、硬质小麦技术创新中心。</w:t>
            </w:r>
            <w:r>
              <w:rPr>
                <w:rFonts w:hint="eastAsia" w:asciiTheme="minorEastAsia" w:hAnsiTheme="minorEastAsia" w:cstheme="minorEastAsia"/>
                <w:spacing w:val="-6"/>
                <w:sz w:val="24"/>
                <w:szCs w:val="24"/>
              </w:rPr>
              <w:t>联合中国农业大学、内蒙古农业大学等高校和研究院所，建设硬质小麦技术创新中心，重点开展小麦育种以及小麦精深加工应用研究，提升小麦产品副加值，拓展小麦种植、加工产业链。</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3、向日葵</w:t>
            </w:r>
            <w:r>
              <w:rPr>
                <w:rFonts w:hint="eastAsia" w:asciiTheme="minorEastAsia" w:hAnsiTheme="minorEastAsia" w:cstheme="minorEastAsia"/>
                <w:b/>
                <w:sz w:val="24"/>
                <w:szCs w:val="24"/>
                <w:lang w:eastAsia="zh-CN"/>
              </w:rPr>
              <w:t>技术创新中心建设</w:t>
            </w:r>
            <w:r>
              <w:rPr>
                <w:rFonts w:hint="eastAsia" w:asciiTheme="minorEastAsia" w:hAnsiTheme="minorEastAsia" w:cstheme="minorEastAsia"/>
                <w:b/>
                <w:sz w:val="24"/>
                <w:szCs w:val="24"/>
              </w:rPr>
              <w:t>。</w:t>
            </w:r>
            <w:r>
              <w:rPr>
                <w:rFonts w:hint="eastAsia" w:asciiTheme="minorEastAsia" w:hAnsiTheme="minorEastAsia" w:cstheme="minorEastAsia"/>
                <w:sz w:val="24"/>
                <w:szCs w:val="24"/>
                <w:lang w:eastAsia="zh-CN"/>
              </w:rPr>
              <w:t>加快</w:t>
            </w:r>
            <w:r>
              <w:rPr>
                <w:rFonts w:hint="eastAsia" w:asciiTheme="minorEastAsia" w:hAnsiTheme="minorEastAsia" w:cstheme="minorEastAsia"/>
                <w:sz w:val="24"/>
                <w:szCs w:val="24"/>
              </w:rPr>
              <w:t>向日葵技术创新中心</w:t>
            </w:r>
            <w:r>
              <w:rPr>
                <w:rFonts w:hint="eastAsia" w:asciiTheme="minorEastAsia" w:hAnsiTheme="minorEastAsia" w:cstheme="minorEastAsia"/>
                <w:sz w:val="24"/>
                <w:szCs w:val="24"/>
                <w:lang w:eastAsia="zh-CN"/>
              </w:rPr>
              <w:t>建设</w:t>
            </w:r>
            <w:r>
              <w:rPr>
                <w:rFonts w:hint="eastAsia" w:asciiTheme="minorEastAsia" w:hAnsiTheme="minorEastAsia" w:cstheme="minorEastAsia"/>
                <w:sz w:val="24"/>
                <w:szCs w:val="24"/>
              </w:rPr>
              <w:t>。联合同行业企业全面实施食用向日葵分子聚合育种，解决影响向日葵稳产高产与病害预测关键技术问题，打造国内领先水平的向日葵产业科技园区。</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4、巴彦淖尔市中药（蒙药）材优良品种选育技术创新中心。</w:t>
            </w:r>
            <w:r>
              <w:rPr>
                <w:rFonts w:hint="eastAsia" w:asciiTheme="minorEastAsia" w:hAnsiTheme="minorEastAsia" w:cstheme="minorEastAsia"/>
                <w:sz w:val="24"/>
                <w:szCs w:val="24"/>
              </w:rPr>
              <w:t>支持相关企业与中国中医科学院中药研究所联合共建巴彦淖尔市中药（蒙药）材优良品种选育技术创新中心，重点开展特色道地药材肉苁蓉及蒙古黄芪质量控制体系及深加工产品开发研究，优选先进制造工艺及加工设备；建立中药（蒙药）材优良品种选育技术体系和中药（蒙药）材新品种审定和评价体系，实现高品质药材生产全过程溯源，满足优质中药（蒙药）产业发展需求。</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5、巴彦淖尔现代煤化工产业研究院。</w:t>
            </w:r>
            <w:r>
              <w:rPr>
                <w:rFonts w:hint="eastAsia" w:asciiTheme="minorEastAsia" w:hAnsiTheme="minorEastAsia" w:cstheme="minorEastAsia"/>
                <w:sz w:val="24"/>
                <w:szCs w:val="24"/>
              </w:rPr>
              <w:t>依托乌拉特前旗煤化工产业优势，与鄂尔多斯、榆林等国家级现代煤化工产业示范区龙头企业合作，建设巴彦淖尔现代煤化工产业研究院和煤化工高新技术孵化基地，形成通用树脂、有机原料、合成橡胶、工程塑料、专用化学品等下游高端产业集群，重视挖掘技术性减排路径，开展节能诊断，拓展降碳空间，力争率先实现碳达峰目标。</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6、河套灌区</w:t>
            </w:r>
            <w:r>
              <w:rPr>
                <w:rFonts w:hint="eastAsia" w:asciiTheme="minorEastAsia" w:hAnsiTheme="minorEastAsia" w:cstheme="minorEastAsia"/>
                <w:b/>
                <w:sz w:val="24"/>
                <w:szCs w:val="24"/>
                <w:lang w:eastAsia="zh-CN"/>
              </w:rPr>
              <w:t>中农大</w:t>
            </w:r>
            <w:r>
              <w:rPr>
                <w:rFonts w:hint="eastAsia" w:asciiTheme="minorEastAsia" w:hAnsiTheme="minorEastAsia" w:cstheme="minorEastAsia"/>
                <w:b/>
                <w:sz w:val="24"/>
                <w:szCs w:val="24"/>
              </w:rPr>
              <w:t>研究院。</w:t>
            </w:r>
            <w:r>
              <w:rPr>
                <w:rFonts w:hint="eastAsia" w:asciiTheme="minorEastAsia" w:hAnsiTheme="minorEastAsia" w:cstheme="minorEastAsia"/>
                <w:sz w:val="24"/>
                <w:szCs w:val="24"/>
              </w:rPr>
              <w:t>依托研究院整合优化已有野外试验基地和野外观测网点，大力开展乌梁素海流域农业—水文—环境—生态多要素相互作用机理研究和水资源高效利用协同调控关键技术研究，搭建灌区实现农业节水减排挖盐长远目标的创新平台。</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7、超细型绒山羊重点实验室。</w:t>
            </w:r>
            <w:r>
              <w:rPr>
                <w:rFonts w:hint="eastAsia" w:asciiTheme="minorEastAsia" w:hAnsiTheme="minorEastAsia" w:cstheme="minorEastAsia"/>
                <w:sz w:val="24"/>
                <w:szCs w:val="24"/>
              </w:rPr>
              <w:t>支持相关企业、研究院，联合中科院昆明动物研究所、中科院深圳先进技术研究院、西北工业大学生物学院、西安农林大学等，创建内蒙古自治区超细型绒山羊重点实验室，开展相关成果转化并实现产业化，在我市重要畜种提纯复壮、新品种（系）培育及高通量基因测序芯片开发方面取得积极进展。</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8、乌兰布和沙产业气象服务中心。</w:t>
            </w:r>
            <w:r>
              <w:rPr>
                <w:rFonts w:hint="eastAsia" w:asciiTheme="minorEastAsia" w:hAnsiTheme="minorEastAsia" w:cstheme="minorEastAsia"/>
                <w:sz w:val="24"/>
                <w:szCs w:val="24"/>
              </w:rPr>
              <w:t>依托内蒙古自治区气象局、巴彦淖尔市气象局，联合中国林科院沙林中心，建设乌兰布和沙产业气象服务中心，开展沙漠特色产业种植气象服务体系、沙区生态监测网体系、沙区植被变化和湖泊卫星遥感监测服务体系建设，推进气象事业与社区经济深度融合及气象科技现代化。</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9、河套灌区耕地地力提升技术应用推广中心。</w:t>
            </w:r>
            <w:r>
              <w:rPr>
                <w:rFonts w:hint="eastAsia" w:asciiTheme="minorEastAsia" w:hAnsiTheme="minorEastAsia" w:cstheme="minorEastAsia"/>
                <w:sz w:val="24"/>
                <w:szCs w:val="24"/>
              </w:rPr>
              <w:t>依托该中心加强与中国科学院南京土壤研究所合作，形成一系列行之有效的土壤地力提升模式，有效解决土壤地力低的瓶颈问题。</w:t>
            </w:r>
          </w:p>
          <w:p>
            <w:pPr>
              <w:spacing w:line="480" w:lineRule="exact"/>
              <w:ind w:left="210" w:leftChars="100" w:right="210" w:rightChars="100" w:firstLine="481" w:firstLineChars="200"/>
              <w:rPr>
                <w:rFonts w:ascii="幼圆" w:eastAsia="幼圆"/>
                <w:b/>
                <w:sz w:val="24"/>
                <w:szCs w:val="24"/>
              </w:rPr>
            </w:pPr>
            <w:r>
              <w:rPr>
                <w:rFonts w:hint="eastAsia" w:asciiTheme="minorEastAsia" w:hAnsiTheme="minorEastAsia" w:cstheme="minorEastAsia"/>
                <w:b/>
                <w:sz w:val="24"/>
                <w:szCs w:val="24"/>
              </w:rPr>
              <w:t>10、内蒙古乌梁素海湿地生态系统国家定位观察研究站。</w:t>
            </w:r>
            <w:r>
              <w:rPr>
                <w:rFonts w:hint="eastAsia" w:asciiTheme="minorEastAsia" w:hAnsiTheme="minorEastAsia" w:cstheme="minorEastAsia"/>
                <w:sz w:val="24"/>
                <w:szCs w:val="24"/>
              </w:rPr>
              <w:t>积极与内蒙古农业大学、北京林业大学合作，开展破损鱼—草生物链修复技术研究，不断提升研究站科研水平，建成国家级观察站。</w:t>
            </w:r>
          </w:p>
        </w:tc>
      </w:tr>
    </w:tbl>
    <w:p>
      <w:pPr>
        <w:pStyle w:val="4"/>
        <w:spacing w:after="156" w:line="400" w:lineRule="exact"/>
        <w:ind w:firstLine="0" w:firstLineChars="0"/>
        <w:jc w:val="center"/>
        <w:rPr>
          <w:rFonts w:ascii="黑体" w:hAnsi="黑体" w:eastAsia="黑体" w:cs="黑体"/>
          <w:b w:val="0"/>
          <w:bCs w:val="0"/>
          <w:sz w:val="32"/>
        </w:rPr>
      </w:pPr>
      <w:bookmarkStart w:id="38" w:name="_Toc31232"/>
      <w:bookmarkStart w:id="39" w:name="_Toc83540942"/>
    </w:p>
    <w:p>
      <w:pPr>
        <w:spacing w:line="520" w:lineRule="exact"/>
        <w:jc w:val="center"/>
        <w:rPr>
          <w:rFonts w:ascii="黑体" w:hAnsi="黑体" w:eastAsia="黑体" w:cs="黑体"/>
          <w:spacing w:val="-11"/>
          <w:sz w:val="36"/>
          <w:szCs w:val="36"/>
        </w:rPr>
      </w:pPr>
      <w:r>
        <w:rPr>
          <w:rFonts w:hint="eastAsia" w:ascii="黑体" w:hAnsi="黑体" w:eastAsia="黑体" w:cs="黑体"/>
          <w:spacing w:val="-11"/>
          <w:sz w:val="36"/>
          <w:szCs w:val="36"/>
        </w:rPr>
        <w:t>第三篇  引领发展现代农牧业，构筑乡村振兴科技基础</w:t>
      </w:r>
      <w:bookmarkEnd w:id="38"/>
      <w:bookmarkEnd w:id="39"/>
    </w:p>
    <w:p>
      <w:pPr>
        <w:spacing w:line="520" w:lineRule="exact"/>
        <w:rPr>
          <w:rFonts w:asciiTheme="minorEastAsia" w:hAnsiTheme="minorEastAsia" w:cstheme="minorEastAsia"/>
          <w:sz w:val="28"/>
          <w:szCs w:val="28"/>
        </w:rPr>
      </w:pP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坚持绿色兴农兴牧、科技强农强牧，着力解决现代农牧业发展中的关键技术问题，支撑农牧业走产出高效、产品安全、资源节约、环境友好、生态保育型的现代化道路，形成乡村振兴的科技先导。</w:t>
      </w:r>
      <w:bookmarkStart w:id="40" w:name="_Toc30533"/>
      <w:bookmarkStart w:id="41" w:name="_Toc83540943"/>
    </w:p>
    <w:p>
      <w:pPr>
        <w:spacing w:line="520" w:lineRule="exact"/>
        <w:ind w:firstLine="560" w:firstLineChars="200"/>
        <w:rPr>
          <w:rFonts w:asciiTheme="minorEastAsia" w:hAnsiTheme="minorEastAsia" w:cstheme="minorEastAsia"/>
          <w:sz w:val="28"/>
          <w:szCs w:val="28"/>
        </w:rPr>
      </w:pPr>
    </w:p>
    <w:p>
      <w:pPr>
        <w:spacing w:line="520" w:lineRule="exact"/>
        <w:jc w:val="center"/>
        <w:rPr>
          <w:rFonts w:ascii="黑体" w:hAnsi="黑体" w:eastAsia="黑体" w:cs="黑体"/>
          <w:sz w:val="32"/>
          <w:szCs w:val="32"/>
        </w:rPr>
      </w:pPr>
      <w:r>
        <w:rPr>
          <w:rFonts w:hint="eastAsia" w:ascii="黑体" w:hAnsi="黑体" w:eastAsia="黑体" w:cs="黑体"/>
          <w:sz w:val="32"/>
          <w:szCs w:val="32"/>
        </w:rPr>
        <w:t>第五章  引领农牧业高质量发展</w:t>
      </w:r>
      <w:bookmarkEnd w:id="40"/>
      <w:bookmarkEnd w:id="41"/>
      <w:bookmarkStart w:id="42" w:name="_Toc83540944"/>
      <w:bookmarkStart w:id="43" w:name="_Toc30504"/>
    </w:p>
    <w:p>
      <w:pPr>
        <w:spacing w:line="520" w:lineRule="exact"/>
        <w:ind w:firstLine="640" w:firstLineChars="200"/>
        <w:rPr>
          <w:rFonts w:ascii="黑体" w:hAnsi="黑体" w:eastAsia="黑体" w:cs="黑体"/>
          <w:sz w:val="32"/>
          <w:szCs w:val="32"/>
        </w:rPr>
      </w:pPr>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第一节  推动种业创新发展</w:t>
      </w:r>
      <w:bookmarkEnd w:id="42"/>
      <w:bookmarkEnd w:id="43"/>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建设黄河流域西北地区种质基因库和现代种业产业园。对全市农林草植物种质资源、畜禽种质资源开展系统性收集保护，建立种植资源保护名录，建设种质资源圃和良种繁育基地，完成10万份种质资源收集保存。鼓励种质创新，引进不同地区优质作物、野生近缘种、遗传分析工具材料等新种质及核心种质。加强遗传资源保护，重视梭梭、沙冬青等濒危植物物种群落和河套大耳猪、二狼山白绒山羊、戈壁红驼、华莱士、灯笼红香瓜、黄柿子等地方特色品种保护。</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农作物优良品种培育。</w:t>
      </w:r>
      <w:r>
        <w:rPr>
          <w:rFonts w:hint="eastAsia" w:asciiTheme="minorEastAsia" w:hAnsiTheme="minorEastAsia" w:cstheme="minorEastAsia"/>
          <w:sz w:val="28"/>
          <w:szCs w:val="28"/>
        </w:rPr>
        <w:t>提升育种创新能力，开展主要农作物育种应用研究与高效种子繁育配套技术研究。深入开展现代生物育种技术研究与应用，突破种业发展技术瓶颈。推动科企深度融合，鼓励建立小麦、玉米、向日葵、果蔬等区域优势农作物育种平台和创新联合体，创制一批拥有自主知识产权和突破性技术的作物新品种，重点培育优质高产小麦新品种、密植高产抗倒伏宜机收玉米新品种、抗列当向日葵新品种、高结实率果蔬新品种。</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畜禽优良品种选育。</w:t>
      </w:r>
      <w:r>
        <w:rPr>
          <w:rFonts w:hint="eastAsia" w:asciiTheme="minorEastAsia" w:hAnsiTheme="minorEastAsia" w:cstheme="minorEastAsia"/>
          <w:sz w:val="28"/>
          <w:szCs w:val="28"/>
        </w:rPr>
        <w:t>开展巴彦淖尔地方良种家畜新品系选育及生物育种关键技术研究，地方品种现代高效繁育技术集成示范。完善畜禽“育种场—扩繁场—生产企业”组成的金字塔式繁育体系，扩大优势品种核心群规模，增强供种能力。支持建设主要畜种杂交配套系及产业化示范平台，创建优秀核心育种群。重视育种繁殖新技术研究应用，选育一批优良家畜新品种。保障国家级肉羊种羊核心育种场、国家级内蒙古绒山羊（二狼山型）保种场、自治区级双峰驼保种场、种羊湖羊规模化繁育示范基地、纯种奶山羊和奶绵羊繁育场等技术需求。</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林草优良品种选育。</w:t>
      </w:r>
      <w:r>
        <w:rPr>
          <w:rFonts w:hint="eastAsia" w:asciiTheme="minorEastAsia" w:hAnsiTheme="minorEastAsia" w:cstheme="minorEastAsia"/>
          <w:sz w:val="28"/>
          <w:szCs w:val="28"/>
        </w:rPr>
        <w:t>开展重要乡土树种和主要外来造林树种多性状目标定向改良和品种提纯，选育适合巴彦淖尔地区不同立地条件的优生高抗高产林木新品种。加强林下野生资源原生地保护，开展野生牧草资源驯化和品种创新，培育特色牧草新品种。研究优质牧草种子生产关键技术，建立标准化现代优质牧草种子繁育体系。支持建设不同类型生态区域牧草种子繁育基地，推动形成乌兰布和沙区、河套灌区、沿黄生态修复带、乌拉特草原牧草产业带，合理配置人工草地草种组合。</w:t>
      </w:r>
    </w:p>
    <w:p>
      <w:pPr>
        <w:spacing w:line="520" w:lineRule="exact"/>
        <w:ind w:firstLine="600" w:firstLineChars="200"/>
        <w:rPr>
          <w:rFonts w:ascii="黑体" w:hAnsi="黑体" w:eastAsia="黑体" w:cs="黑体"/>
          <w:sz w:val="30"/>
          <w:szCs w:val="30"/>
        </w:rPr>
      </w:pPr>
      <w:bookmarkStart w:id="44" w:name="_Toc17302"/>
      <w:bookmarkStart w:id="45" w:name="_Toc83540945"/>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突破种养殖关键技术</w:t>
      </w:r>
      <w:bookmarkEnd w:id="44"/>
      <w:bookmarkEnd w:id="45"/>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农作物栽培管理技术。</w:t>
      </w:r>
      <w:r>
        <w:rPr>
          <w:rFonts w:hint="eastAsia" w:asciiTheme="minorEastAsia" w:hAnsiTheme="minorEastAsia" w:cstheme="minorEastAsia"/>
          <w:sz w:val="28"/>
          <w:szCs w:val="28"/>
        </w:rPr>
        <w:t>围绕小麦、玉米、向日葵和果蔬等主要作物，聚焦“管住水、压住盐、降化肥、减农药、控农膜”五个关键环节，持续优化绿色生产技术模式。创新小麦绿色种植技术，发展葵花，玉米套种和麦后复种；开展作物秸秆还田和土壤深松，推进增密无膜栽培、青贮玉米合理密植等模式；发展向日葵“零底肥”和水肥一体化技术模式；瓜果蔬菜发展轻简化栽培和投入品减量增效技术模式。支持开展作物全程绿色生产关键技术攻关，重点在控水降耗、控膜提效、控肥增效、控药减害和种养结合等关键技术领域取得新进展。</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设施农业技术。</w:t>
      </w:r>
      <w:r>
        <w:rPr>
          <w:rFonts w:hint="eastAsia" w:asciiTheme="minorEastAsia" w:hAnsiTheme="minorEastAsia" w:cstheme="minorEastAsia"/>
          <w:sz w:val="28"/>
          <w:szCs w:val="28"/>
        </w:rPr>
        <w:t>提升设施农业技术水平，重点开展设施园艺智能化水肥一体节水减污技术集成示范，改善设施农业园艺环境质量，突破无土栽培、连作障碍等关键技术。开展日光温室结构优化、环境调控及栽培系统配套研究示范，优先发展设施农业智能滴灌系统、自动控温系统及物联网监测控制系统和手机远程管理系统。开展无土栽培新型技术试验示范。</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畜禽饲养及管理技术。</w:t>
      </w:r>
      <w:r>
        <w:rPr>
          <w:rFonts w:hint="eastAsia" w:asciiTheme="minorEastAsia" w:hAnsiTheme="minorEastAsia" w:cstheme="minorEastAsia"/>
          <w:sz w:val="28"/>
          <w:szCs w:val="28"/>
        </w:rPr>
        <w:t>开展巴彦淖尔地方优质家畜品种选优提纯。支持肉羊产业重点区域、肉羊规模化繁育基地开展肉羊高效繁育技术集成示范，羔羊标准化育肥技术研究示范；支持肉牛产业重点区域、肉牛养殖场开展肉牛繁育技术集成示范、肉牛高效精准养殖技术创新；开展纯种奶山羊、奶绵羊新品系选育扩繁，加快良种化进程；开展高产奶牛繁育和配套系筛选技术研究与产业化应用；开展二狼山白绒山羊现代生物技术繁育及舍饲综合配套技术集成示范；开展戈壁红驼、河套大耳猪、蒙古马保护利用和肉鸡蛋鸡以及特色养殖技术创新，提升规模养殖和产业化水平。</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畜禽饲料营养精准供给技术。</w:t>
      </w:r>
      <w:r>
        <w:rPr>
          <w:rFonts w:hint="eastAsia" w:asciiTheme="minorEastAsia" w:hAnsiTheme="minorEastAsia" w:cstheme="minorEastAsia"/>
          <w:sz w:val="28"/>
          <w:szCs w:val="28"/>
        </w:rPr>
        <w:t>加强对畜禽饲料资源开发利用技术研究及饲用安全评价，开展畜禽绿色提质增效养殖和饲料营养调控关键技术研究应用，重点研究饲料精准配方技术、无抗反应饲料技术、发酵饲料应用技术、集成示范饲料原料多元化利用技术、非常规饲料提质增效技术。创新畜禽健康养殖模式，提升饲料原料精准营养效价，开发功能性安全环保型饲料添加剂。</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作物病虫害与动物疫病防控技术。</w:t>
      </w:r>
      <w:r>
        <w:rPr>
          <w:rFonts w:hint="eastAsia" w:asciiTheme="minorEastAsia" w:hAnsiTheme="minorEastAsia" w:cstheme="minorEastAsia"/>
          <w:sz w:val="28"/>
          <w:szCs w:val="28"/>
        </w:rPr>
        <w:t>开展主要作物病虫草害发生规律及综合防控技术、除病虫草剂减量使用技术、病虫害抗药性综合治理技术研究，蔬菜种植中主要风险农药及病虫害类型研究。支持新型农药、绿色防控生物农药研发。开展重大外来动物疫病防控技术、重要人畜共患病免疫与监测防治技术研究。推进动物疫病疫苗、兽药及高通量诊断与监测试剂研发及标准化应用。开展生物安全措施、诊断监测、免疫防控、区域净化技术集成，推广规模化养殖场环境控制关键技术。</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废弃物资源化利用技术。</w:t>
      </w:r>
      <w:r>
        <w:rPr>
          <w:rFonts w:hint="eastAsia" w:asciiTheme="minorEastAsia" w:hAnsiTheme="minorEastAsia" w:cstheme="minorEastAsia"/>
          <w:sz w:val="28"/>
          <w:szCs w:val="28"/>
        </w:rPr>
        <w:t>开展农村牧区废物循环利用技术、畜禽粪污综合处理关键技术集成，重点研究开发秸秆肥料化、饲料化、燃料化高效利用技术及工艺，粪肥还田及安全利用技术，农业废弃物直接发酵技术。开展农作物秸秆发酵饲料生产制备技术、畜禽养殖污水高效处理技术、规模化畜禽场废弃物堆肥与除臭技术集成示范，构建农村牧区生物质废物循环利用体系。</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tcPr>
          <w:p>
            <w:pPr>
              <w:spacing w:beforeLines="50" w:afterLines="50" w:line="520" w:lineRule="exact"/>
              <w:ind w:left="210" w:leftChars="100" w:right="210" w:rightChars="100"/>
              <w:jc w:val="center"/>
              <w:rPr>
                <w:rFonts w:ascii="幼圆" w:eastAsia="幼圆"/>
                <w:b/>
                <w:sz w:val="24"/>
                <w:szCs w:val="24"/>
              </w:rPr>
            </w:pPr>
            <w:bookmarkStart w:id="46" w:name="_Toc83540946"/>
            <w:r>
              <w:rPr>
                <w:rFonts w:hint="eastAsia" w:ascii="幼圆" w:eastAsia="幼圆"/>
                <w:b/>
                <w:sz w:val="24"/>
                <w:szCs w:val="24"/>
              </w:rPr>
              <w:t xml:space="preserve">专栏5  </w:t>
            </w:r>
            <w:r>
              <w:rPr>
                <w:rFonts w:hint="eastAsia" w:ascii="幼圆" w:eastAsia="幼圆"/>
                <w:b/>
                <w:color w:val="auto"/>
                <w:sz w:val="24"/>
                <w:szCs w:val="24"/>
              </w:rPr>
              <w:t>农牧业</w:t>
            </w:r>
            <w:r>
              <w:rPr>
                <w:rFonts w:hint="eastAsia" w:ascii="幼圆" w:eastAsia="幼圆"/>
                <w:b/>
                <w:sz w:val="24"/>
                <w:szCs w:val="24"/>
              </w:rPr>
              <w:t>关键技术集成研究重点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1、小麦新品种选育及配套栽培技术研究。</w:t>
            </w:r>
            <w:r>
              <w:rPr>
                <w:rFonts w:hint="eastAsia" w:asciiTheme="minorEastAsia" w:hAnsiTheme="minorEastAsia" w:cstheme="minorEastAsia"/>
                <w:sz w:val="24"/>
                <w:szCs w:val="24"/>
              </w:rPr>
              <w:t>以硬质小麦为重点，突破育种手段、种质资源挖掘、新品种创制、原良种繁育、节水节肥绿色有机栽培、高端产品生产加工等核心关键技术，培育一批高产、优质、多抗、广适等多元优良性状小麦新品种，配套完善相应的高效栽培技术。</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2、小麦麦后复种模式及关键技术研究。</w:t>
            </w:r>
            <w:r>
              <w:rPr>
                <w:rFonts w:hint="eastAsia" w:asciiTheme="minorEastAsia" w:hAnsiTheme="minorEastAsia" w:cstheme="minorEastAsia"/>
                <w:sz w:val="24"/>
                <w:szCs w:val="24"/>
              </w:rPr>
              <w:t>针对麦后复种不同作物栽培模式，开展品种选择、播量播期、水肥管理、加工收获等关键技术研究示范，筛选提出生产效率高、经济效益好的复种组合，提高小麦种植收益。</w:t>
            </w:r>
          </w:p>
          <w:p>
            <w:pPr>
              <w:spacing w:line="480" w:lineRule="exact"/>
              <w:ind w:left="210" w:leftChars="100" w:right="210" w:rightChars="100" w:firstLine="481" w:firstLineChars="200"/>
              <w:rPr>
                <w:rFonts w:asciiTheme="minorEastAsia" w:hAnsiTheme="minorEastAsia" w:cstheme="minorEastAsia"/>
                <w:spacing w:val="-11"/>
                <w:sz w:val="24"/>
                <w:szCs w:val="24"/>
              </w:rPr>
            </w:pPr>
            <w:r>
              <w:rPr>
                <w:rFonts w:hint="eastAsia" w:asciiTheme="minorEastAsia" w:hAnsiTheme="minorEastAsia" w:cstheme="minorEastAsia"/>
                <w:b/>
                <w:sz w:val="24"/>
                <w:szCs w:val="24"/>
              </w:rPr>
              <w:t>3、西北高产优质玉米新品种培育。</w:t>
            </w:r>
            <w:r>
              <w:rPr>
                <w:rFonts w:hint="eastAsia" w:asciiTheme="minorEastAsia" w:hAnsiTheme="minorEastAsia" w:cstheme="minorEastAsia"/>
                <w:spacing w:val="-11"/>
                <w:sz w:val="24"/>
                <w:szCs w:val="24"/>
              </w:rPr>
              <w:t>应用双单倍体育种技术、分子育种技术，培育、改良、筛选玉米种质资源；研究西北玉米高产、优质遗传基础，提供一套玉米新品种培育技术体系；对选育的爆裂玉米、粮饲兼用玉米、青储玉米、宜机收玉米新品种开展测试示范，形成一套成熟的玉米氮高效利用栽培技术体系。</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4、河套灌区特色品种种质资源保护及提纯复壮技术研究。</w:t>
            </w:r>
            <w:r>
              <w:rPr>
                <w:rFonts w:hint="eastAsia" w:asciiTheme="minorEastAsia" w:hAnsiTheme="minorEastAsia" w:cstheme="minorEastAsia"/>
                <w:sz w:val="24"/>
                <w:szCs w:val="24"/>
              </w:rPr>
              <w:t>开展黄柿子、灯笼红香瓜、华莱士蜜瓜等特色作物种质资源保护调查与收集研究，建立种质资源库，开展提纯复壮关键技术研究。</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5、向日葵病害发生规律与防控技术研究。</w:t>
            </w:r>
            <w:r>
              <w:rPr>
                <w:rFonts w:hint="eastAsia" w:asciiTheme="minorEastAsia" w:hAnsiTheme="minorEastAsia" w:cstheme="minorEastAsia"/>
                <w:sz w:val="24"/>
                <w:szCs w:val="24"/>
              </w:rPr>
              <w:t>针对向日葵列当、籽粒锈斑病病害发生规律、治病因子等生物特性，开展理化诱控、栽培防控、高效药剂药械等绿色防控技术研究，在食葵籽粒锈斑综合防治试验示范区开展科学防治并进行防治效果及效益评价。</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6、向日葵分子聚合育种与SNP分子标记平台开发。</w:t>
            </w:r>
            <w:r>
              <w:rPr>
                <w:rFonts w:hint="eastAsia" w:asciiTheme="minorEastAsia" w:hAnsiTheme="minorEastAsia" w:cstheme="minorEastAsia"/>
                <w:sz w:val="24"/>
                <w:szCs w:val="24"/>
              </w:rPr>
              <w:t>充分挖掘向日葵种质资源，利用全基因组分子标记技术，快速实现众多有机抗性基因聚合育种，开发一套适合食葵的全基因组SNP分子标记数据库，提升品种选育进度。</w:t>
            </w:r>
          </w:p>
          <w:p>
            <w:pPr>
              <w:spacing w:line="480" w:lineRule="exact"/>
              <w:ind w:left="210" w:leftChars="100" w:right="210" w:rightChars="100" w:firstLine="481" w:firstLineChars="200"/>
              <w:rPr>
                <w:rFonts w:hint="eastAsia" w:asciiTheme="minorEastAsia" w:hAnsiTheme="minorEastAsia" w:cstheme="minorEastAsia"/>
                <w:sz w:val="24"/>
                <w:szCs w:val="24"/>
              </w:rPr>
            </w:pPr>
            <w:r>
              <w:rPr>
                <w:rFonts w:hint="eastAsia" w:asciiTheme="minorEastAsia" w:hAnsiTheme="minorEastAsia" w:cstheme="minorEastAsia"/>
                <w:b/>
                <w:sz w:val="24"/>
                <w:szCs w:val="24"/>
              </w:rPr>
              <w:t>7、耐盐作物引进筛选与配套种植技术研究。</w:t>
            </w:r>
            <w:r>
              <w:rPr>
                <w:rFonts w:hint="eastAsia" w:asciiTheme="minorEastAsia" w:hAnsiTheme="minorEastAsia" w:cstheme="minorEastAsia"/>
                <w:spacing w:val="-17"/>
                <w:sz w:val="24"/>
                <w:szCs w:val="24"/>
              </w:rPr>
              <w:t>引</w:t>
            </w:r>
            <w:r>
              <w:rPr>
                <w:rFonts w:hint="eastAsia" w:asciiTheme="minorEastAsia" w:hAnsiTheme="minorEastAsia" w:cstheme="minorEastAsia"/>
                <w:sz w:val="24"/>
                <w:szCs w:val="24"/>
              </w:rPr>
              <w:t>进筛选可在中、重度盐碱地种植的耐盐作物植物，发展耐旱、耐盐、耐盐碱、耐瘠薄作物种植并集成配套盐碱地高效种植及土壤改良技术，助力形成盐碱地分类治理与水土资源高效利用技术体系。</w:t>
            </w:r>
          </w:p>
          <w:p>
            <w:pPr>
              <w:spacing w:line="480" w:lineRule="exact"/>
              <w:ind w:left="210" w:leftChars="100" w:right="210" w:rightChars="100" w:firstLine="481" w:firstLineChars="200"/>
              <w:rPr>
                <w:rFonts w:hint="eastAsia" w:asciiTheme="minorEastAsia" w:hAnsiTheme="minorEastAsia" w:cstheme="minorEastAsia"/>
                <w:sz w:val="24"/>
                <w:szCs w:val="24"/>
              </w:rPr>
            </w:pPr>
            <w:r>
              <w:rPr>
                <w:rFonts w:hint="eastAsia" w:asciiTheme="minorEastAsia" w:hAnsiTheme="minorEastAsia" w:cstheme="minorEastAsia"/>
                <w:b/>
                <w:sz w:val="24"/>
                <w:szCs w:val="24"/>
              </w:rPr>
              <w:t>8、设施蔬菜优质高效栽培关键技术研究。</w:t>
            </w:r>
            <w:r>
              <w:rPr>
                <w:rFonts w:hint="eastAsia" w:asciiTheme="minorEastAsia" w:hAnsiTheme="minorEastAsia" w:cstheme="minorEastAsia"/>
                <w:sz w:val="24"/>
                <w:szCs w:val="24"/>
              </w:rPr>
              <w:t>解决设施农业园艺环境质量、连作障碍、无土栽培等关键技术问题，开展新型蔬菜设施及配套环境调控技术研究，开展设施蔬菜优质高效生态栽培技术集成示范。</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9、设施园艺高效数字化管理与标准化生产技术研究与集成示范。</w:t>
            </w:r>
            <w:r>
              <w:rPr>
                <w:rFonts w:hint="eastAsia" w:asciiTheme="minorEastAsia" w:hAnsiTheme="minorEastAsia" w:cstheme="minorEastAsia"/>
                <w:sz w:val="24"/>
                <w:szCs w:val="24"/>
              </w:rPr>
              <w:t>引进甄选以鲜食无花果、火龙果、芳香型葡萄、草莓、西葫芦、樱桃、番茄为主的设施果业新品种，带动设施配套装备升级，提出巴彦淖尔设施园艺高效管理模式1—2种，开展设施结构性能对果蔬产量的影响研究，构建巴彦淖尔设施园艺高效数字化管理与标准化生产体系。</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10、多羔肉羊新品种选育与良种繁育技术研究。</w:t>
            </w:r>
            <w:r>
              <w:rPr>
                <w:rFonts w:hint="eastAsia" w:asciiTheme="minorEastAsia" w:hAnsiTheme="minorEastAsia" w:cstheme="minorEastAsia"/>
                <w:sz w:val="24"/>
                <w:szCs w:val="24"/>
              </w:rPr>
              <w:t>对区域性肉羊种质资源开展综合评价利用，采用分子标记、基因测序、多胎基因筛选等技术，对巴美肉羊、富川肉羊、寒杂母羊等本土优势肉羊品种进行选育，建立核心选育群和区域性群选群育联合机制，培育肉羊多羔新品系，提高繁殖成活率，提升品种优势。</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11、二狼山白绒山羊种群繁育关键技术研究。</w:t>
            </w:r>
            <w:r>
              <w:rPr>
                <w:rFonts w:hint="eastAsia" w:asciiTheme="minorEastAsia" w:hAnsiTheme="minorEastAsia" w:cstheme="minorEastAsia"/>
                <w:sz w:val="24"/>
                <w:szCs w:val="24"/>
              </w:rPr>
              <w:t>开展二狼山白绒山羊多羔选育、两年三产、营养调控、避光增绒等高效养殖技术研究与试验示范，提高优质二狼山白绒山羊生产性能和群体数量，提高核心群体繁殖成活率。</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12、优质高繁殖率肉牛品系选育和配套系筛选。</w:t>
            </w:r>
            <w:r>
              <w:rPr>
                <w:rFonts w:hint="eastAsia" w:asciiTheme="minorEastAsia" w:hAnsiTheme="minorEastAsia" w:cstheme="minorEastAsia"/>
                <w:sz w:val="24"/>
                <w:szCs w:val="24"/>
              </w:rPr>
              <w:t>开展肉牛联合育种关键技术研究和肉牛规模化养殖生产工艺创新，加强肉牛营养检测调控与绿色高效养殖技术示范与规模化肉牛养殖场废弃物无害化处理和资源化利用技术。</w:t>
            </w:r>
          </w:p>
          <w:p>
            <w:pPr>
              <w:spacing w:line="480" w:lineRule="exact"/>
              <w:ind w:left="210" w:leftChars="100" w:right="210" w:rightChars="100" w:firstLine="481" w:firstLineChars="200"/>
              <w:rPr>
                <w:rFonts w:asciiTheme="minorEastAsia" w:hAnsiTheme="minorEastAsia" w:cstheme="minorEastAsia"/>
                <w:spacing w:val="-11"/>
                <w:sz w:val="24"/>
                <w:szCs w:val="24"/>
              </w:rPr>
            </w:pPr>
            <w:r>
              <w:rPr>
                <w:rFonts w:hint="eastAsia" w:asciiTheme="minorEastAsia" w:hAnsiTheme="minorEastAsia" w:cstheme="minorEastAsia"/>
                <w:b/>
                <w:sz w:val="24"/>
                <w:szCs w:val="24"/>
              </w:rPr>
              <w:t>13、奶牛养殖关键技术。</w:t>
            </w:r>
            <w:r>
              <w:rPr>
                <w:rFonts w:hint="eastAsia" w:asciiTheme="minorEastAsia" w:hAnsiTheme="minorEastAsia" w:cstheme="minorEastAsia"/>
                <w:spacing w:val="-11"/>
                <w:sz w:val="24"/>
                <w:szCs w:val="24"/>
              </w:rPr>
              <w:t>围绕奶牛生态乳业园区及规模化养殖基地建设，开展高产奶牛繁育和配套系筛选、现代化奶牛高效良种繁育体系及繁育关键技术集成，牛乳生产工艺关键技术和设备研发，规模化奶牛场保健和免疫程序优化研究。</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14、戈壁红驼种质资源调查、品种繁育及疫病防控关键技术。</w:t>
            </w:r>
            <w:r>
              <w:rPr>
                <w:rFonts w:hint="eastAsia" w:asciiTheme="minorEastAsia" w:hAnsiTheme="minorEastAsia" w:cstheme="minorEastAsia"/>
                <w:sz w:val="24"/>
                <w:szCs w:val="24"/>
              </w:rPr>
              <w:t>组织开展戈壁红驼种质资源调查、优良红驼品种培育及高效养殖技术，疫病防控技术研究，建立标准化繁育群体及优良种公驼育种数据库。</w:t>
            </w:r>
          </w:p>
          <w:p>
            <w:pPr>
              <w:spacing w:afterLines="50" w:line="480" w:lineRule="exact"/>
              <w:ind w:left="210" w:leftChars="100" w:right="210" w:rightChars="100" w:firstLine="481" w:firstLineChars="200"/>
              <w:rPr>
                <w:rFonts w:ascii="幼圆" w:eastAsia="幼圆"/>
                <w:b/>
                <w:sz w:val="24"/>
                <w:szCs w:val="24"/>
              </w:rPr>
            </w:pPr>
            <w:r>
              <w:rPr>
                <w:rFonts w:hint="eastAsia" w:asciiTheme="minorEastAsia" w:hAnsiTheme="minorEastAsia" w:cstheme="minorEastAsia"/>
                <w:b/>
                <w:sz w:val="24"/>
                <w:szCs w:val="24"/>
              </w:rPr>
              <w:t>15、废弃物无害化处理与循环利用。</w:t>
            </w:r>
            <w:r>
              <w:rPr>
                <w:rFonts w:hint="eastAsia" w:asciiTheme="minorEastAsia" w:hAnsiTheme="minorEastAsia" w:cstheme="minorEastAsia"/>
                <w:sz w:val="24"/>
                <w:szCs w:val="24"/>
              </w:rPr>
              <w:t>大力开展病死畜禽无害化处理技术研究，加强农业废弃物、秸秆资源化利用技术研究与设备开发。</w:t>
            </w:r>
          </w:p>
        </w:tc>
      </w:tr>
    </w:tbl>
    <w:p>
      <w:pPr>
        <w:spacing w:line="520" w:lineRule="exact"/>
        <w:ind w:firstLine="600" w:firstLineChars="200"/>
        <w:rPr>
          <w:rFonts w:ascii="黑体" w:hAnsi="黑体" w:eastAsia="黑体" w:cs="黑体"/>
          <w:sz w:val="30"/>
          <w:szCs w:val="30"/>
        </w:rPr>
      </w:pPr>
      <w:bookmarkStart w:id="47" w:name="_Toc8312"/>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第三节  集成草业关键技术</w:t>
      </w:r>
      <w:bookmarkEnd w:id="46"/>
      <w:bookmarkEnd w:id="47"/>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优质人工草地建植技术。</w:t>
      </w:r>
      <w:r>
        <w:rPr>
          <w:rFonts w:hint="eastAsia" w:asciiTheme="minorEastAsia" w:hAnsiTheme="minorEastAsia" w:cstheme="minorEastAsia"/>
          <w:sz w:val="28"/>
          <w:szCs w:val="28"/>
        </w:rPr>
        <w:t>在草产业优势区大力发展优质人工草地，探索不同类型草业系统工程优化模式，科学配置草种组合，开展放牧与割草两类人工草地建植关键技术集成示范，优质高效青贮青刈型饲草品种繁育技术、优质高效混播种植技术集成研究。开展抗旱、抗寒、耐盐阔叶优良牧草新品种高新繁育技术与优质牧草品种引进、培育、野生驯化及配套栽培技术研究。重视草田轮作短期人工草场栽培管理技术研究，广泛开展提高草地生产力综合技术研究示范。加强优质高产一年生饲草料基地建设。提高饲草生产机械化应用水平。</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天然草原保护与利用。</w:t>
      </w:r>
      <w:r>
        <w:rPr>
          <w:rFonts w:hint="eastAsia" w:asciiTheme="minorEastAsia" w:hAnsiTheme="minorEastAsia" w:cstheme="minorEastAsia"/>
          <w:sz w:val="28"/>
          <w:szCs w:val="28"/>
        </w:rPr>
        <w:t>研究天然草地综合生产能力构成和可持续利用技术，建设野生草种抚育基地和牧草原始材料圃。建立长期定位监测体系，开展天然草地营养类型监测技术集成，开展退化草地恢复机理及生态治理关键技术研究，重视草畜平衡与可持续草地家畜生产技术。培育打草场，构建区域草地草畜互作发展模式。</w:t>
      </w:r>
    </w:p>
    <w:p>
      <w:pPr>
        <w:spacing w:line="520" w:lineRule="exact"/>
        <w:ind w:firstLine="560" w:firstLineChars="200"/>
        <w:rPr>
          <w:rFonts w:asciiTheme="minorEastAsia" w:hAnsiTheme="minorEastAsia" w:cstheme="minorEastAsia"/>
          <w:sz w:val="28"/>
          <w:szCs w:val="28"/>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Lines="50" w:line="520" w:lineRule="exact"/>
              <w:ind w:left="210" w:leftChars="100" w:right="210" w:rightChars="100"/>
              <w:jc w:val="center"/>
              <w:rPr>
                <w:rFonts w:ascii="幼圆" w:eastAsia="幼圆"/>
                <w:b/>
                <w:sz w:val="24"/>
                <w:szCs w:val="24"/>
              </w:rPr>
            </w:pPr>
            <w:r>
              <w:rPr>
                <w:rFonts w:hint="eastAsia" w:ascii="幼圆" w:eastAsia="幼圆"/>
                <w:b/>
                <w:sz w:val="24"/>
                <w:szCs w:val="24"/>
              </w:rPr>
              <w:t>专栏6  草业关键技术及饲料产品开发重点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1、优质、高产、多抗牧草种植技术。</w:t>
            </w:r>
            <w:r>
              <w:rPr>
                <w:rFonts w:hint="eastAsia" w:asciiTheme="minorEastAsia" w:hAnsiTheme="minorEastAsia" w:cstheme="minorEastAsia"/>
                <w:sz w:val="24"/>
                <w:szCs w:val="24"/>
              </w:rPr>
              <w:t>大力开展优质高蛋白牧草与经济作物引种栽培试验研究，加大旱生牧草、根茎禾草、灌木类饲草高效利用技术研究，组织开展优质饲草节水栽培技术、大田饲草两茬种植收获技术研究与适宜复种的新品种筛选，加大乡土牧草优良品种开发。</w:t>
            </w:r>
          </w:p>
          <w:p>
            <w:pPr>
              <w:spacing w:afterLines="50" w:line="480" w:lineRule="exact"/>
              <w:ind w:left="210" w:leftChars="100" w:right="210" w:rightChars="100" w:firstLine="481" w:firstLineChars="200"/>
              <w:rPr>
                <w:rFonts w:ascii="幼圆" w:eastAsia="幼圆"/>
                <w:b/>
                <w:sz w:val="24"/>
                <w:szCs w:val="24"/>
              </w:rPr>
            </w:pPr>
            <w:r>
              <w:rPr>
                <w:rFonts w:hint="eastAsia" w:asciiTheme="minorEastAsia" w:hAnsiTheme="minorEastAsia" w:cstheme="minorEastAsia"/>
                <w:b/>
                <w:sz w:val="24"/>
                <w:szCs w:val="24"/>
              </w:rPr>
              <w:t>2、无抗反应动物饲料研发。</w:t>
            </w:r>
            <w:r>
              <w:rPr>
                <w:rFonts w:hint="eastAsia" w:asciiTheme="minorEastAsia" w:hAnsiTheme="minorEastAsia" w:cstheme="minorEastAsia"/>
                <w:sz w:val="24"/>
                <w:szCs w:val="24"/>
              </w:rPr>
              <w:t>研究开发无抗反应动物饲料新品种，配套开展食疗为主体，微生态、中草药、蒙药、微生物菌剂、锌硒等微量元素添加为辅助的全新饲养方式，实现无抗胜有抗绿色养殖模式创新。</w:t>
            </w:r>
          </w:p>
        </w:tc>
      </w:tr>
    </w:tbl>
    <w:p>
      <w:pPr>
        <w:spacing w:line="520" w:lineRule="exact"/>
        <w:ind w:firstLine="600" w:firstLineChars="200"/>
        <w:rPr>
          <w:rFonts w:ascii="黑体" w:hAnsi="黑体" w:eastAsia="黑体" w:cs="黑体"/>
          <w:sz w:val="30"/>
          <w:szCs w:val="30"/>
        </w:rPr>
      </w:pPr>
      <w:bookmarkStart w:id="48" w:name="_Toc4096"/>
      <w:bookmarkStart w:id="49" w:name="_Toc83540947"/>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第四节  提升“天赋河套”品牌内涵</w:t>
      </w:r>
      <w:bookmarkEnd w:id="48"/>
      <w:bookmarkEnd w:id="49"/>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构筑“天赋河套”品牌的科技基</w:t>
      </w:r>
      <w:r>
        <w:rPr>
          <w:rFonts w:hint="eastAsia" w:asciiTheme="minorEastAsia" w:hAnsiTheme="minorEastAsia" w:cstheme="minorEastAsia"/>
          <w:b/>
          <w:sz w:val="28"/>
          <w:szCs w:val="28"/>
        </w:rPr>
        <w:t>础。</w:t>
      </w:r>
      <w:r>
        <w:rPr>
          <w:rFonts w:hint="eastAsia" w:asciiTheme="minorEastAsia" w:hAnsiTheme="minorEastAsia" w:cstheme="minorEastAsia"/>
          <w:sz w:val="28"/>
          <w:szCs w:val="28"/>
        </w:rPr>
        <w:t>珍惜“天赋河套”荣获中国农业最具影响力品牌荣誉，不断以科技创新夯实品牌经济基础。坚持自主创新与品牌培育相结合，鼓励品牌企业以质量第一、技术领先为遵循，推动创新资源向“天赋河套”区域公共品牌、自治区“蒙”字标认证、国家地理标志认证、绿色有机农产品认证等要素涉及的优势企业集中，建立促进品牌科技含量持续提升的长效机制，消除产品和品牌缺乏发展后劲的隐患，实现核心技术和品牌内涵的双重跨越。</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促进形成具有核心技术和全球影响力的知名品牌。</w:t>
      </w:r>
      <w:r>
        <w:rPr>
          <w:rFonts w:hint="eastAsia" w:asciiTheme="minorEastAsia" w:hAnsiTheme="minorEastAsia" w:cstheme="minorEastAsia"/>
          <w:sz w:val="28"/>
          <w:szCs w:val="28"/>
        </w:rPr>
        <w:t>开展已有品牌的价值提升，重点对升值潜力大的产品进行系统培育，以项目引导、专利开发、平台搭建、标准带动等形式，集中力量培育、保护、扶持和发展一批具有自主知识产权和自主品牌的高端产品和科技名牌企业，形成一批掌握核心技术、具有行业领先水平和国际竞争力的品牌企业。支持品牌企业、“天赋河套”孵化器内企业建设自主品牌开发技术创新体系和双边、多边协作机制，支持产品技术升级。</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以品牌带动形成标准优势。</w:t>
      </w:r>
      <w:r>
        <w:rPr>
          <w:rFonts w:hint="eastAsia" w:asciiTheme="minorEastAsia" w:hAnsiTheme="minorEastAsia" w:cstheme="minorEastAsia"/>
          <w:sz w:val="28"/>
          <w:szCs w:val="28"/>
        </w:rPr>
        <w:t>树立“计划引导—专利产品—核心技术—自主产品—品牌企业”的科技计划立项思路，强化品牌培育技术指导和配套服务，带动地方、行业、国家、国际标准的制定，同步发展产品优势、技术优势、标准优势，增强从单项产品、系列产品到整体企业的品牌价值。支持优势产业技术领先领域率先制定覆盖农牧业环境、育种、种养、加工、保鲜、储存全环节技术标准，带动形成立足全市优势、增强全市产业技术创新话语权的技术标准体系框架。培育一批优势产业技术标准示范企业，推动专利、核心技术与技术标准相融合。加强跨区域自主品牌和自主知识产权保护，加强自主品牌保护和管理服务，提升自主品牌竞争力。</w:t>
      </w:r>
      <w:bookmarkStart w:id="50" w:name="_Toc83540948"/>
      <w:bookmarkStart w:id="51" w:name="_Toc2254"/>
    </w:p>
    <w:p>
      <w:pPr>
        <w:pStyle w:val="4"/>
        <w:spacing w:after="156" w:line="400" w:lineRule="exact"/>
        <w:ind w:firstLine="0" w:firstLineChars="0"/>
        <w:jc w:val="center"/>
        <w:rPr>
          <w:rFonts w:ascii="黑体" w:hAnsi="黑体" w:eastAsia="黑体" w:cs="黑体"/>
          <w:b w:val="0"/>
          <w:bCs w:val="0"/>
          <w:sz w:val="32"/>
        </w:rPr>
      </w:pPr>
    </w:p>
    <w:p>
      <w:pPr>
        <w:rPr>
          <w:rFonts w:ascii="黑体" w:hAnsi="黑体" w:eastAsia="黑体" w:cs="黑体"/>
          <w:b w:val="0"/>
          <w:bCs w:val="0"/>
          <w:sz w:val="32"/>
        </w:rPr>
      </w:pPr>
    </w:p>
    <w:p>
      <w:pPr>
        <w:pStyle w:val="2"/>
        <w:rPr>
          <w:rFonts w:ascii="黑体" w:hAnsi="黑体" w:eastAsia="黑体" w:cs="黑体"/>
          <w:b w:val="0"/>
          <w:bCs w:val="0"/>
          <w:sz w:val="32"/>
        </w:rPr>
      </w:pPr>
    </w:p>
    <w:p/>
    <w:p>
      <w:pPr>
        <w:spacing w:line="520" w:lineRule="exact"/>
        <w:jc w:val="center"/>
        <w:rPr>
          <w:rFonts w:ascii="黑体" w:hAnsi="黑体" w:eastAsia="黑体" w:cs="黑体"/>
          <w:sz w:val="32"/>
          <w:szCs w:val="32"/>
        </w:rPr>
      </w:pPr>
      <w:r>
        <w:rPr>
          <w:rFonts w:hint="eastAsia" w:ascii="黑体" w:hAnsi="黑体" w:eastAsia="黑体" w:cs="黑体"/>
          <w:sz w:val="32"/>
          <w:szCs w:val="32"/>
        </w:rPr>
        <w:t>第六章  筑牢乡村振兴科技支撑</w:t>
      </w:r>
      <w:bookmarkEnd w:id="50"/>
      <w:bookmarkEnd w:id="51"/>
      <w:bookmarkStart w:id="52" w:name="_Toc83540949"/>
      <w:bookmarkStart w:id="53" w:name="_Toc31327"/>
    </w:p>
    <w:p>
      <w:pPr>
        <w:spacing w:line="520" w:lineRule="exact"/>
        <w:ind w:firstLine="640" w:firstLineChars="200"/>
        <w:rPr>
          <w:rFonts w:ascii="黑体" w:hAnsi="黑体" w:eastAsia="黑体" w:cs="黑体"/>
          <w:sz w:val="32"/>
          <w:szCs w:val="32"/>
        </w:rPr>
      </w:pPr>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第一节  促进建设宜居美丽乡村</w:t>
      </w:r>
      <w:bookmarkEnd w:id="52"/>
      <w:bookmarkEnd w:id="53"/>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提升人居环境。</w:t>
      </w:r>
      <w:r>
        <w:rPr>
          <w:rFonts w:hint="eastAsia" w:asciiTheme="minorEastAsia" w:hAnsiTheme="minorEastAsia" w:cstheme="minorEastAsia"/>
          <w:sz w:val="28"/>
          <w:szCs w:val="28"/>
        </w:rPr>
        <w:t>鼓励开展“村庄秀美，环境优美”科学布局，有序推进宜居、宜业、宜游美丽乡村建设。引导乡村集中开展生活垃圾与生活污水处理，提高垃圾无害化处理和水体自我净化能力。加强畜禽污染整治，鼓励养殖场配套沼气工程和农村牧区户用沼气建设。</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发展乡村特色经济。</w:t>
      </w:r>
      <w:r>
        <w:rPr>
          <w:rFonts w:hint="eastAsia" w:asciiTheme="minorEastAsia" w:hAnsiTheme="minorEastAsia" w:cstheme="minorEastAsia"/>
          <w:sz w:val="28"/>
          <w:szCs w:val="28"/>
        </w:rPr>
        <w:t>支持乡村发展特色庭院种养殖经济，鼓励乡村建设特色品种资源种植、加工集中区和标准化生态养殖圈舍，以精细、节水、设施、循环、观光农业为抓手，做精富农特色产业，彰显“一村一业，一村一品”村庄特色。</w:t>
      </w:r>
      <w:bookmarkStart w:id="54" w:name="_Toc15146"/>
      <w:bookmarkStart w:id="55" w:name="_Toc83540950"/>
    </w:p>
    <w:p>
      <w:pPr>
        <w:spacing w:line="520" w:lineRule="exact"/>
        <w:ind w:firstLine="600" w:firstLineChars="200"/>
        <w:rPr>
          <w:rFonts w:ascii="黑体" w:hAnsi="黑体" w:eastAsia="黑体" w:cs="黑体"/>
          <w:sz w:val="30"/>
          <w:szCs w:val="30"/>
        </w:rPr>
      </w:pPr>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构建新型农村牧区科技服务体系</w:t>
      </w:r>
      <w:bookmarkEnd w:id="54"/>
      <w:bookmarkEnd w:id="55"/>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优化配置现有科技服务资源。</w:t>
      </w:r>
      <w:r>
        <w:rPr>
          <w:rFonts w:hint="eastAsia" w:asciiTheme="minorEastAsia" w:hAnsiTheme="minorEastAsia" w:cstheme="minorEastAsia"/>
          <w:sz w:val="28"/>
          <w:szCs w:val="28"/>
        </w:rPr>
        <w:t>整合</w:t>
      </w:r>
      <w:r>
        <w:rPr>
          <w:rFonts w:hint="eastAsia" w:asciiTheme="minorEastAsia" w:hAnsiTheme="minorEastAsia" w:cstheme="minorEastAsia"/>
          <w:bCs/>
          <w:sz w:val="28"/>
          <w:szCs w:val="28"/>
        </w:rPr>
        <w:t>全市科技服务力量，集中科技服务优势资源，</w:t>
      </w:r>
      <w:r>
        <w:rPr>
          <w:rFonts w:hint="eastAsia" w:asciiTheme="minorEastAsia" w:hAnsiTheme="minorEastAsia" w:cstheme="minorEastAsia"/>
          <w:sz w:val="28"/>
          <w:szCs w:val="28"/>
        </w:rPr>
        <w:t>面向广大农户持续提供技术培训、现场咨询、实地指导等形式多样的技术服务，创新务实高效服务新模式。支持区域性农牧业科技园区、农牧业科研机构拓展服务功能，配套必要的基础服务设施、野外台站、试验示范基地等，积极融入乡村振兴。推行“农技专家+示范基地+技术指导员+科技示范户+辐射带动户”科技服务运行模式，大力发展农牧业技术经纪人队伍和新型职业农民队伍。充分利用三区科技人才、科技特派员、农村牧区科技带头人、乡土致富能手开展点对点精准科技服务与培训，创造贴近农牧民需求的科技服务新模式。</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大力发展特色科技小院。</w:t>
      </w:r>
      <w:r>
        <w:rPr>
          <w:rFonts w:hint="eastAsia" w:asciiTheme="minorEastAsia" w:hAnsiTheme="minorEastAsia" w:cstheme="minorEastAsia"/>
          <w:sz w:val="28"/>
          <w:szCs w:val="28"/>
        </w:rPr>
        <w:t>巩固拓展科技小院建设成果，持续完善“四级联创”平台功能，创新农业技术集成创新模式与技术转化模式，强化科技支撑。支持科技小院建设新技术研发与成果推广示范基地。不断完善“政府+高校+科研机构+企业+实践应用”的科技小院“政产学研用”运作模式。支持科技小院以科研项目为依托，靶向瞄准、因需施策、专项突破、产学研协同创新，推动提高农牧业技术成果转化率和转化速度，助力乡村振兴。</w:t>
      </w:r>
      <w:bookmarkStart w:id="56" w:name="_Toc83540951"/>
      <w:bookmarkStart w:id="57" w:name="_Toc31748"/>
    </w:p>
    <w:p>
      <w:pPr>
        <w:spacing w:line="520" w:lineRule="exact"/>
        <w:ind w:firstLine="600" w:firstLineChars="200"/>
        <w:rPr>
          <w:rFonts w:ascii="黑体" w:hAnsi="黑体" w:eastAsia="黑体" w:cs="黑体"/>
          <w:sz w:val="30"/>
          <w:szCs w:val="30"/>
        </w:rPr>
      </w:pPr>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第三节  提升农牧业科技成果转化推广水平</w:t>
      </w:r>
      <w:bookmarkEnd w:id="56"/>
      <w:bookmarkEnd w:id="57"/>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保障农牧业科技成果需求供给。</w:t>
      </w:r>
      <w:r>
        <w:rPr>
          <w:rFonts w:hint="eastAsia" w:asciiTheme="minorEastAsia" w:hAnsiTheme="minorEastAsia" w:cstheme="minorEastAsia"/>
          <w:sz w:val="28"/>
          <w:szCs w:val="28"/>
        </w:rPr>
        <w:t>紧扣农牧业发展需求，凝炼一批产业链长、推广面广、示范效应显著的先进适用技术和重大应用成果包，重点做好“四控两化一改一提”绿色生产技术体系推广示范，优先转化优质高产节本增效集成配套技术、模式化饲养技术、家庭农牧场建设与合理利用技术、农作物病虫害及动物疫病防控技术、兽药质量监测和残留控制技术。</w:t>
      </w:r>
    </w:p>
    <w:p>
      <w:pPr>
        <w:spacing w:line="520" w:lineRule="exact"/>
        <w:ind w:firstLine="560" w:firstLineChars="200"/>
        <w:rPr>
          <w:rFonts w:asciiTheme="minorEastAsia" w:hAnsiTheme="minorEastAsia" w:cstheme="minorEastAsia"/>
          <w:sz w:val="28"/>
          <w:szCs w:val="28"/>
        </w:rPr>
      </w:pPr>
    </w:p>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Lines="50" w:line="520" w:lineRule="exact"/>
              <w:ind w:left="210" w:leftChars="100" w:right="210" w:rightChars="100"/>
              <w:jc w:val="center"/>
              <w:rPr>
                <w:rFonts w:ascii="幼圆" w:hAnsi="幼圆" w:eastAsia="幼圆" w:cs="幼圆"/>
                <w:b/>
                <w:bCs/>
                <w:sz w:val="24"/>
                <w:szCs w:val="24"/>
              </w:rPr>
            </w:pPr>
            <w:bookmarkStart w:id="58" w:name="_Toc83540952"/>
            <w:r>
              <w:rPr>
                <w:rFonts w:hint="eastAsia" w:ascii="幼圆" w:hAnsi="幼圆" w:eastAsia="幼圆" w:cs="幼圆"/>
                <w:b/>
                <w:bCs/>
                <w:sz w:val="24"/>
                <w:szCs w:val="24"/>
              </w:rPr>
              <w:t>专栏7  先进适用技术推广与成果转化重点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80" w:lineRule="exact"/>
              <w:ind w:left="210" w:leftChars="100" w:right="210" w:rightChars="100" w:firstLine="480" w:firstLineChars="200"/>
              <w:rPr>
                <w:rFonts w:asciiTheme="minorEastAsia" w:hAnsiTheme="minorEastAsia" w:cstheme="minorEastAsia"/>
                <w:bCs/>
                <w:sz w:val="24"/>
                <w:szCs w:val="24"/>
              </w:rPr>
            </w:pPr>
            <w:r>
              <w:rPr>
                <w:rFonts w:hint="eastAsia" w:asciiTheme="minorEastAsia" w:hAnsiTheme="minorEastAsia" w:cstheme="minorEastAsia"/>
                <w:bCs/>
                <w:sz w:val="24"/>
                <w:szCs w:val="24"/>
              </w:rPr>
              <w:t>围绕黄河流域生态保护和高质量发展，加快转化一批重大先进适用技术成果，重点加强小麦套种晚播向日葵全程绿色生产技术，麦后复种绿肥全程绿色生产技术，向日葵扩行降密提质增效技术，玉米一穴双株增密高产栽培技术，西甜瓜高产高效栽培技术，高效低毒药剂防控作物病虫害技术，主要农作物和蔬菜智能化水肥一体化绿色生产技术，农业面源污染防治与全域氮磷养分循环高效利用技术等。</w:t>
            </w:r>
          </w:p>
          <w:p>
            <w:pPr>
              <w:spacing w:line="480" w:lineRule="exact"/>
              <w:ind w:left="210" w:leftChars="100" w:right="210" w:rightChars="100" w:firstLine="480" w:firstLineChars="200"/>
              <w:rPr>
                <w:rFonts w:ascii="幼圆" w:hAnsi="幼圆" w:eastAsia="幼圆" w:cs="幼圆"/>
                <w:b/>
                <w:bCs/>
                <w:sz w:val="24"/>
                <w:szCs w:val="24"/>
              </w:rPr>
            </w:pPr>
            <w:r>
              <w:rPr>
                <w:rFonts w:hint="eastAsia" w:asciiTheme="minorEastAsia" w:hAnsiTheme="minorEastAsia" w:cstheme="minorEastAsia"/>
                <w:bCs/>
                <w:sz w:val="24"/>
                <w:szCs w:val="24"/>
              </w:rPr>
              <w:t>围绕盐碱地综合治理和水资源高效利用，转化一批新技术新成果，重点开展盐碱地“五位一体”综合治理技术，河套灌区水盐调控技术，明渠灌溉效率提升技术，淹没式灌溉精量化节水技术，暗管排水排盐集成技术，河套灌区智慧水肥一体化调控技术，黄河水水沙调控高效节水技术，黄河水滴灌泥沙处理技术与泥沙资源化利用技术。</w:t>
            </w:r>
          </w:p>
        </w:tc>
      </w:tr>
    </w:tbl>
    <w:p>
      <w:pPr>
        <w:pStyle w:val="4"/>
        <w:spacing w:after="156" w:line="400" w:lineRule="exact"/>
        <w:ind w:firstLine="0" w:firstLineChars="0"/>
        <w:jc w:val="center"/>
        <w:rPr>
          <w:rFonts w:ascii="黑体" w:hAnsi="黑体" w:eastAsia="黑体" w:cs="黑体"/>
          <w:b w:val="0"/>
          <w:bCs w:val="0"/>
          <w:sz w:val="32"/>
        </w:rPr>
      </w:pPr>
      <w:bookmarkStart w:id="59" w:name="_Toc9404"/>
    </w:p>
    <w:p>
      <w:pPr>
        <w:spacing w:line="520" w:lineRule="exact"/>
        <w:jc w:val="center"/>
        <w:rPr>
          <w:rFonts w:ascii="黑体" w:hAnsi="黑体" w:eastAsia="黑体" w:cs="黑体"/>
          <w:sz w:val="36"/>
          <w:szCs w:val="36"/>
        </w:rPr>
      </w:pPr>
      <w:r>
        <w:rPr>
          <w:rFonts w:hint="eastAsia" w:ascii="黑体" w:hAnsi="黑体" w:eastAsia="黑体" w:cs="黑体"/>
          <w:sz w:val="36"/>
          <w:szCs w:val="36"/>
        </w:rPr>
        <w:t>第四篇  引领构建现代产业技术体系</w:t>
      </w:r>
      <w:bookmarkEnd w:id="58"/>
      <w:bookmarkEnd w:id="59"/>
    </w:p>
    <w:p>
      <w:pPr>
        <w:spacing w:line="520" w:lineRule="exact"/>
        <w:rPr>
          <w:rFonts w:asciiTheme="minorEastAsia" w:hAnsiTheme="minorEastAsia" w:cstheme="minorEastAsia"/>
          <w:sz w:val="28"/>
          <w:szCs w:val="28"/>
        </w:rPr>
      </w:pP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全方位保障构建绿色现代产业体系的科技需求，广泛应用高新技术改造提升传统产业，加快培育新兴产业，解决我市重点产业核心技术短缺、技术储备不足等瓶颈问题，加快关键技术研发和拥有自主知识产权产品开发步伐，形成具有较强竞争力的绿色现代产业技术体系。</w:t>
      </w:r>
    </w:p>
    <w:p>
      <w:pPr>
        <w:spacing w:line="520" w:lineRule="exact"/>
        <w:rPr>
          <w:rFonts w:asciiTheme="minorEastAsia" w:hAnsiTheme="minorEastAsia" w:cstheme="minorEastAsia"/>
          <w:sz w:val="28"/>
          <w:szCs w:val="28"/>
        </w:rPr>
      </w:pPr>
    </w:p>
    <w:p>
      <w:pPr>
        <w:spacing w:line="520" w:lineRule="exact"/>
        <w:jc w:val="center"/>
        <w:rPr>
          <w:rFonts w:ascii="黑体" w:hAnsi="黑体" w:eastAsia="黑体" w:cs="黑体"/>
          <w:sz w:val="32"/>
          <w:szCs w:val="32"/>
        </w:rPr>
      </w:pPr>
      <w:bookmarkStart w:id="60" w:name="_Toc18928"/>
      <w:bookmarkStart w:id="61" w:name="_Toc83540953"/>
      <w:r>
        <w:rPr>
          <w:rFonts w:hint="eastAsia" w:ascii="黑体" w:hAnsi="黑体" w:eastAsia="黑体" w:cs="黑体"/>
          <w:sz w:val="32"/>
          <w:szCs w:val="32"/>
        </w:rPr>
        <w:t>第七章  促进传统优势产业转型升级</w:t>
      </w:r>
      <w:bookmarkEnd w:id="60"/>
      <w:bookmarkEnd w:id="61"/>
    </w:p>
    <w:p>
      <w:pPr>
        <w:spacing w:line="520" w:lineRule="exact"/>
        <w:rPr>
          <w:rFonts w:asciiTheme="minorEastAsia" w:hAnsiTheme="minorEastAsia" w:cstheme="minorEastAsia"/>
          <w:sz w:val="28"/>
          <w:szCs w:val="28"/>
        </w:rPr>
      </w:pPr>
    </w:p>
    <w:p>
      <w:pPr>
        <w:spacing w:line="520" w:lineRule="exact"/>
        <w:ind w:firstLine="600" w:firstLineChars="200"/>
        <w:rPr>
          <w:rFonts w:ascii="黑体" w:hAnsi="黑体" w:eastAsia="黑体" w:cs="黑体"/>
          <w:sz w:val="30"/>
          <w:szCs w:val="30"/>
        </w:rPr>
      </w:pPr>
      <w:bookmarkStart w:id="62" w:name="_Toc6318"/>
      <w:bookmarkStart w:id="63" w:name="_Toc83540954"/>
      <w:r>
        <w:rPr>
          <w:rFonts w:hint="eastAsia" w:ascii="黑体" w:hAnsi="黑体" w:eastAsia="黑体" w:cs="黑体"/>
          <w:sz w:val="30"/>
          <w:szCs w:val="30"/>
        </w:rPr>
        <w:t>第一节  建设绿色农畜产品精深加工基地</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提升农畜产品精深加工技术。</w:t>
      </w:r>
      <w:r>
        <w:rPr>
          <w:rFonts w:hint="eastAsia" w:asciiTheme="minorEastAsia" w:hAnsiTheme="minorEastAsia" w:cstheme="minorEastAsia"/>
          <w:sz w:val="28"/>
          <w:szCs w:val="28"/>
        </w:rPr>
        <w:t>充分发挥我市农畜产品特色资源优势，坚持绿色、天然、有机、品牌发展方针，围绕农畜产品加工全产业链建设，突出一批农畜产品加工关键技术，培育一批农畜产品加工骨干企业和特色品牌，延伸产业深度，提升科技含量，在粮食、肉类、饲草、果蔬、禽蛋等领域形成精深加工核心技术体系，在向日葵、面粉谷物、动植物生物技术、中（蒙）药药膳食品、南瓜籽油、番茄、苁蓉等特色制品领域创新工艺技术水平，打造新亮点。</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重视特色优势产品结构优化与技术升级。</w:t>
      </w:r>
      <w:r>
        <w:rPr>
          <w:rFonts w:hint="eastAsia" w:asciiTheme="minorEastAsia" w:hAnsiTheme="minorEastAsia" w:cstheme="minorEastAsia"/>
          <w:sz w:val="28"/>
          <w:szCs w:val="28"/>
        </w:rPr>
        <w:t>加强巴彦淖尔市特色粮油作物、蔬菜制品、草产品、林果花卉、山野产品生产关键技术与工艺研究，加强牛羊、肉鸡及副产品加工工艺研究与特色肉产品开发，开展鲜乳制品和风味发酵乳制品生产关键技术研究与产品创新。开展主食产品研发，支持功能性新产品突出风味、营养、便捷、多功能特色，优化产品结构。发展羊绒、驼绒新产品创意和延伸加工技术。重视高端农畜精深加工产品创制，提升产品层次。推进农畜产品加工企业设备更新和技术升级。</w:t>
      </w:r>
    </w:p>
    <w:bookmarkEnd w:id="62"/>
    <w:bookmarkEnd w:id="63"/>
    <w:p>
      <w:pPr>
        <w:spacing w:line="520" w:lineRule="exact"/>
        <w:ind w:firstLine="600" w:firstLineChars="200"/>
        <w:rPr>
          <w:rFonts w:ascii="黑体" w:hAnsi="黑体" w:eastAsia="黑体" w:cs="黑体"/>
          <w:sz w:val="30"/>
          <w:szCs w:val="30"/>
        </w:rPr>
      </w:pPr>
      <w:bookmarkStart w:id="64" w:name="_Toc23570"/>
      <w:bookmarkStart w:id="65" w:name="_Toc83540955"/>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spacing w:beforeLines="50" w:line="520" w:lineRule="exact"/>
              <w:ind w:left="210" w:leftChars="100" w:right="210" w:rightChars="100"/>
              <w:jc w:val="center"/>
              <w:rPr>
                <w:rFonts w:ascii="幼圆" w:hAnsi="幼圆" w:eastAsia="幼圆" w:cs="幼圆"/>
                <w:b/>
                <w:bCs/>
                <w:sz w:val="24"/>
                <w:szCs w:val="24"/>
              </w:rPr>
            </w:pPr>
            <w:r>
              <w:rPr>
                <w:rFonts w:hint="eastAsia" w:ascii="幼圆" w:hAnsi="幼圆" w:eastAsia="幼圆" w:cs="幼圆"/>
                <w:b/>
                <w:bCs/>
                <w:sz w:val="24"/>
                <w:szCs w:val="24"/>
              </w:rPr>
              <w:t>专栏8  农畜产品精深加工关键技术集成重点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80" w:lineRule="exact"/>
              <w:ind w:firstLine="421" w:firstLineChars="175"/>
              <w:rPr>
                <w:rFonts w:asciiTheme="minorEastAsia" w:hAnsiTheme="minorEastAsia" w:cstheme="minorEastAsia"/>
                <w:sz w:val="24"/>
                <w:szCs w:val="24"/>
              </w:rPr>
            </w:pPr>
            <w:r>
              <w:rPr>
                <w:rFonts w:hint="eastAsia" w:asciiTheme="minorEastAsia" w:hAnsiTheme="minorEastAsia" w:cstheme="minorEastAsia"/>
                <w:b/>
                <w:bCs/>
                <w:sz w:val="24"/>
                <w:szCs w:val="24"/>
              </w:rPr>
              <w:t>1、河套小麦麸皮深加工及功能性食品开发。</w:t>
            </w:r>
            <w:r>
              <w:rPr>
                <w:rFonts w:hint="eastAsia" w:asciiTheme="minorEastAsia" w:hAnsiTheme="minorEastAsia" w:cstheme="minorEastAsia"/>
                <w:sz w:val="24"/>
                <w:szCs w:val="24"/>
              </w:rPr>
              <w:t>研究确定小麦麸皮蛋白及膳食纤维理化性质、微观结构、消化特性及调控胆固醇代谢作用及其机制，建立小麦麸皮蛋白及膳食纤维稳态化技术，研发小麦麸皮蛋白及膳食纤维提取新工艺，开发基于小麦麸皮的功能性食品、高膳食纤维食品、生活活性材料等。</w:t>
            </w:r>
          </w:p>
          <w:p>
            <w:pPr>
              <w:spacing w:line="480" w:lineRule="exact"/>
              <w:ind w:firstLine="421" w:firstLineChars="175"/>
              <w:rPr>
                <w:rFonts w:asciiTheme="minorEastAsia" w:hAnsiTheme="minorEastAsia" w:cstheme="minorEastAsia"/>
                <w:sz w:val="24"/>
                <w:szCs w:val="24"/>
              </w:rPr>
            </w:pPr>
            <w:r>
              <w:rPr>
                <w:rFonts w:hint="eastAsia" w:asciiTheme="minorEastAsia" w:hAnsiTheme="minorEastAsia" w:cstheme="minorEastAsia"/>
                <w:b/>
                <w:bCs/>
                <w:sz w:val="24"/>
                <w:szCs w:val="24"/>
              </w:rPr>
              <w:t>2、向日葵产业链延伸及深加工产品开发。</w:t>
            </w:r>
            <w:r>
              <w:rPr>
                <w:rFonts w:hint="eastAsia" w:asciiTheme="minorEastAsia" w:hAnsiTheme="minorEastAsia" w:cstheme="minorEastAsia"/>
                <w:sz w:val="24"/>
                <w:szCs w:val="24"/>
              </w:rPr>
              <w:t>向日葵葵盘、种皮、秸秆功能成分应用及产品创制，葵盘、葵杆制取果胶技术，葵花露、葵仁饮料制作工艺，向日葵花粉营养素、葵蛋白提取技术及加工工艺等。</w:t>
            </w:r>
          </w:p>
          <w:p>
            <w:pPr>
              <w:spacing w:line="480" w:lineRule="exact"/>
              <w:ind w:firstLine="421" w:firstLineChars="175"/>
              <w:rPr>
                <w:rFonts w:asciiTheme="minorEastAsia" w:hAnsiTheme="minorEastAsia" w:cstheme="minorEastAsia"/>
                <w:sz w:val="24"/>
                <w:szCs w:val="24"/>
              </w:rPr>
            </w:pPr>
            <w:r>
              <w:rPr>
                <w:rFonts w:hint="eastAsia" w:asciiTheme="minorEastAsia" w:hAnsiTheme="minorEastAsia" w:cstheme="minorEastAsia"/>
                <w:b/>
                <w:bCs/>
                <w:sz w:val="24"/>
                <w:szCs w:val="24"/>
              </w:rPr>
              <w:t>3、玉米制品精深加工技术。</w:t>
            </w:r>
            <w:r>
              <w:rPr>
                <w:rFonts w:hint="eastAsia" w:asciiTheme="minorEastAsia" w:hAnsiTheme="minorEastAsia" w:cstheme="minorEastAsia"/>
                <w:sz w:val="24"/>
                <w:szCs w:val="24"/>
              </w:rPr>
              <w:t>玉米、玉米芯、玉米秸秆高效深加工产品及工艺技术，玉米食品、糖果、糕点、饮料系列产品加工技术，玉米蛋白提取工艺改进技术，玉米深加工生物制品研发等。</w:t>
            </w:r>
          </w:p>
          <w:p>
            <w:pPr>
              <w:spacing w:line="480" w:lineRule="exact"/>
              <w:ind w:firstLine="421" w:firstLineChars="175"/>
              <w:rPr>
                <w:rFonts w:asciiTheme="minorEastAsia" w:hAnsiTheme="minorEastAsia" w:cstheme="minorEastAsia"/>
                <w:sz w:val="24"/>
                <w:szCs w:val="24"/>
              </w:rPr>
            </w:pPr>
            <w:r>
              <w:rPr>
                <w:rFonts w:hint="eastAsia" w:asciiTheme="minorEastAsia" w:hAnsiTheme="minorEastAsia" w:cstheme="minorEastAsia"/>
                <w:b/>
                <w:bCs/>
                <w:sz w:val="24"/>
                <w:szCs w:val="24"/>
              </w:rPr>
              <w:t>4、籽仁新产品研发及生产工艺改进。</w:t>
            </w:r>
            <w:r>
              <w:rPr>
                <w:rFonts w:hint="eastAsia" w:asciiTheme="minorEastAsia" w:hAnsiTheme="minorEastAsia" w:cstheme="minorEastAsia"/>
                <w:sz w:val="24"/>
                <w:szCs w:val="24"/>
              </w:rPr>
              <w:t>葵花籽、葫芦籽新产品研发，有效控制重金属农残及恶性杂质残留，防虫防害技术改进及工艺创新，籽仁提取蛋白质、油脂加工生产线技术升级等。</w:t>
            </w:r>
          </w:p>
          <w:p>
            <w:pPr>
              <w:spacing w:line="480" w:lineRule="exact"/>
              <w:ind w:firstLine="421" w:firstLineChars="175"/>
              <w:rPr>
                <w:rFonts w:asciiTheme="minorEastAsia" w:hAnsiTheme="minorEastAsia" w:cstheme="minorEastAsia"/>
                <w:sz w:val="24"/>
                <w:szCs w:val="24"/>
              </w:rPr>
            </w:pPr>
            <w:r>
              <w:rPr>
                <w:rFonts w:hint="eastAsia" w:asciiTheme="minorEastAsia" w:hAnsiTheme="minorEastAsia" w:cstheme="minorEastAsia"/>
                <w:b/>
                <w:bCs/>
                <w:sz w:val="24"/>
                <w:szCs w:val="24"/>
              </w:rPr>
              <w:t>5、肉羊精深加工及其副产物综合利用研究。</w:t>
            </w:r>
            <w:r>
              <w:rPr>
                <w:rFonts w:hint="eastAsia" w:asciiTheme="minorEastAsia" w:hAnsiTheme="minorEastAsia" w:cstheme="minorEastAsia"/>
                <w:sz w:val="24"/>
                <w:szCs w:val="24"/>
              </w:rPr>
              <w:t>高品质肉羊分割技术研究，羊肉熟制品、调理制品、冷鲜肉加工技术集成，休闲羊肉产品定量腌制、精确卤制和智能风干技术，羊胎盘活性物质高效提取技术，羊骨、羊血、羊肠、羊油脂等副产物利用价值挖掘与高值化应用研究，羊血多功能成分节约化提取技术。</w:t>
            </w:r>
          </w:p>
          <w:p>
            <w:pPr>
              <w:spacing w:line="480" w:lineRule="exact"/>
              <w:ind w:firstLine="421" w:firstLineChars="175"/>
              <w:rPr>
                <w:rFonts w:asciiTheme="minorEastAsia" w:hAnsiTheme="minorEastAsia" w:cstheme="minorEastAsia"/>
                <w:sz w:val="24"/>
                <w:szCs w:val="24"/>
              </w:rPr>
            </w:pPr>
            <w:r>
              <w:rPr>
                <w:rFonts w:hint="eastAsia" w:asciiTheme="minorEastAsia" w:hAnsiTheme="minorEastAsia" w:cstheme="minorEastAsia"/>
                <w:b/>
                <w:bCs/>
                <w:sz w:val="24"/>
                <w:szCs w:val="24"/>
              </w:rPr>
              <w:t>6、冷鲜肉生产关键技术。</w:t>
            </w:r>
            <w:r>
              <w:rPr>
                <w:rFonts w:hint="eastAsia" w:asciiTheme="minorEastAsia" w:hAnsiTheme="minorEastAsia" w:cstheme="minorEastAsia"/>
                <w:sz w:val="24"/>
                <w:szCs w:val="24"/>
              </w:rPr>
              <w:t>屠宰后羊胴体迅速冷却及排酸技术，微生物在线监测控制，冷鲜肉运输过程中的环境控制技术，冷鲜肉保鲜与包装技术等。</w:t>
            </w:r>
          </w:p>
          <w:p>
            <w:pPr>
              <w:spacing w:line="480" w:lineRule="exact"/>
              <w:ind w:firstLine="421" w:firstLineChars="175"/>
              <w:rPr>
                <w:rFonts w:ascii="幼圆" w:hAnsi="幼圆" w:eastAsia="幼圆" w:cs="幼圆"/>
                <w:b/>
                <w:bCs/>
                <w:sz w:val="24"/>
                <w:szCs w:val="24"/>
              </w:rPr>
            </w:pPr>
            <w:r>
              <w:rPr>
                <w:rFonts w:hint="eastAsia" w:asciiTheme="minorEastAsia" w:hAnsiTheme="minorEastAsia" w:cstheme="minorEastAsia"/>
                <w:b/>
                <w:bCs/>
                <w:sz w:val="24"/>
                <w:szCs w:val="24"/>
              </w:rPr>
              <w:t>7、肉乳产品加工关键技术。</w:t>
            </w:r>
            <w:r>
              <w:rPr>
                <w:rFonts w:hint="eastAsia" w:asciiTheme="minorEastAsia" w:hAnsiTheme="minorEastAsia" w:cstheme="minorEastAsia"/>
                <w:spacing w:val="-6"/>
                <w:sz w:val="24"/>
                <w:szCs w:val="24"/>
              </w:rPr>
              <w:t>多品种和特色风味系列肉类食品精深加工技术，发酵牛羊肉高端制品加工安全生产关键技术，真空冻干有机牛羊肉食品加工技术，肉类产品安全快速检测技术，原料乳营养与加工特性研究，新型乳产品加工技术等。</w:t>
            </w:r>
          </w:p>
        </w:tc>
      </w:tr>
    </w:tbl>
    <w:p>
      <w:pPr>
        <w:spacing w:line="520" w:lineRule="exact"/>
        <w:ind w:firstLine="600" w:firstLineChars="200"/>
        <w:rPr>
          <w:rFonts w:ascii="黑体" w:hAnsi="黑体" w:eastAsia="黑体" w:cs="黑体"/>
          <w:sz w:val="30"/>
          <w:szCs w:val="30"/>
        </w:rPr>
      </w:pPr>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建设清洁能源基地</w:t>
      </w:r>
    </w:p>
    <w:p>
      <w:pPr>
        <w:spacing w:line="520" w:lineRule="exact"/>
        <w:ind w:firstLine="562" w:firstLineChars="200"/>
        <w:rPr>
          <w:rFonts w:hint="eastAsia" w:asciiTheme="minorEastAsia" w:hAnsiTheme="minorEastAsia" w:cstheme="minorEastAsia"/>
          <w:sz w:val="28"/>
          <w:szCs w:val="28"/>
        </w:rPr>
      </w:pPr>
      <w:r>
        <w:rPr>
          <w:rFonts w:hint="eastAsia" w:asciiTheme="minorEastAsia" w:hAnsiTheme="minorEastAsia" w:cstheme="minorEastAsia"/>
          <w:b/>
          <w:sz w:val="28"/>
          <w:szCs w:val="28"/>
        </w:rPr>
        <w:t>着力做强风光产业。</w:t>
      </w:r>
      <w:r>
        <w:rPr>
          <w:rFonts w:hint="eastAsia" w:asciiTheme="minorEastAsia" w:hAnsiTheme="minorEastAsia" w:cstheme="minorEastAsia"/>
          <w:sz w:val="28"/>
          <w:szCs w:val="28"/>
        </w:rPr>
        <w:t>抢抓国家建设黄河几字湾清洁能源基地机遇，大力发展光伏、风电产业。围绕已建风电基地和乌拉特中旗、乌拉特后旗在建1000万千瓦级清洁能源风电基地，开展大规模风电并网接入及分布式风电接入技术研究，推动风电逆变系统数字化实时监控、风电场大数据智能运维管理技术应用。围绕乌兰布和沙漠生态治理光伏发电综合示范基地、中蒙跨境风光火储千万千瓦级综合能源基地建设，开展大型光伏电站可靠运营控制与发电增效技术研究。推动分布式光伏发电多元化应用，大力推广光伏治沙、农（林、牧）光互补利用模式。</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培育发展氢能产业。</w:t>
      </w:r>
      <w:r>
        <w:rPr>
          <w:rFonts w:hint="eastAsia" w:asciiTheme="minorEastAsia" w:hAnsiTheme="minorEastAsia" w:cstheme="minorEastAsia"/>
          <w:bCs/>
          <w:sz w:val="28"/>
          <w:szCs w:val="28"/>
        </w:rPr>
        <w:t>探索发</w:t>
      </w:r>
      <w:r>
        <w:rPr>
          <w:rFonts w:hint="eastAsia" w:asciiTheme="minorEastAsia" w:hAnsiTheme="minorEastAsia" w:cstheme="minorEastAsia"/>
          <w:sz w:val="28"/>
          <w:szCs w:val="28"/>
        </w:rPr>
        <w:t>展新型高效制氢技术，推进光电能源、低谷电力电解水制氢性能研究与应用示范。鼓励氢能企业大力开展氢燃料电池系统集成技术和制氢加氢储运装备关键技术研发。重视氢能在交通、冶金、发电等领域推广应用。</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开展“源网荷储”一体化应用与示范。</w:t>
      </w:r>
      <w:r>
        <w:rPr>
          <w:rFonts w:hint="eastAsia" w:asciiTheme="minorEastAsia" w:hAnsiTheme="minorEastAsia" w:cstheme="minorEastAsia"/>
          <w:sz w:val="28"/>
          <w:szCs w:val="28"/>
        </w:rPr>
        <w:t>围绕巴彦淖尔市源网荷储一体化项目积极开展应用与示范，集成物联网、5G、大数据、人工智能、区块链、移动互联等新基建技术，加快构建我市清洁能源“源—网—荷—储”互动调控体系，保障电网安全稳定运行，促进能源互联网生态圈形成和新业态、新模式发展。</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起步碳捕集利用与封存。</w:t>
      </w:r>
      <w:r>
        <w:rPr>
          <w:rFonts w:hint="eastAsia" w:asciiTheme="minorEastAsia" w:hAnsiTheme="minorEastAsia" w:cstheme="minorEastAsia"/>
          <w:sz w:val="28"/>
          <w:szCs w:val="28"/>
        </w:rPr>
        <w:t>围绕我市“碳达峰”“碳中和”目标任务的科技需求与路径设计，鼓励煤化工、火电、建材、有色金属等行业积极开展近零排放与碳中和试点示范，重点开展低成本煤化工CO</w:t>
      </w:r>
      <w:r>
        <w:rPr>
          <w:rFonts w:hint="eastAsia" w:asciiTheme="minorEastAsia" w:hAnsiTheme="minorEastAsia" w:cstheme="minorEastAsia"/>
          <w:sz w:val="28"/>
          <w:szCs w:val="28"/>
          <w:vertAlign w:val="subscript"/>
        </w:rPr>
        <w:t>2</w:t>
      </w:r>
      <w:r>
        <w:rPr>
          <w:rFonts w:hint="eastAsia" w:asciiTheme="minorEastAsia" w:hAnsiTheme="minorEastAsia" w:cstheme="minorEastAsia"/>
          <w:sz w:val="28"/>
          <w:szCs w:val="28"/>
        </w:rPr>
        <w:t>捕集与压缩技术、新型化工与建材产业CO</w:t>
      </w:r>
      <w:r>
        <w:rPr>
          <w:rFonts w:hint="eastAsia" w:asciiTheme="minorEastAsia" w:hAnsiTheme="minorEastAsia" w:cstheme="minorEastAsia"/>
          <w:sz w:val="28"/>
          <w:szCs w:val="28"/>
          <w:vertAlign w:val="subscript"/>
        </w:rPr>
        <w:t>2</w:t>
      </w:r>
      <w:r>
        <w:rPr>
          <w:rFonts w:hint="eastAsia" w:asciiTheme="minorEastAsia" w:hAnsiTheme="minorEastAsia" w:cstheme="minorEastAsia"/>
          <w:sz w:val="28"/>
          <w:szCs w:val="28"/>
        </w:rPr>
        <w:t>减排及高值化利用技术研究应用，支持煤电行业CO</w:t>
      </w:r>
      <w:r>
        <w:rPr>
          <w:rFonts w:hint="eastAsia" w:asciiTheme="minorEastAsia" w:hAnsiTheme="minorEastAsia" w:cstheme="minorEastAsia"/>
          <w:sz w:val="28"/>
          <w:szCs w:val="28"/>
          <w:vertAlign w:val="subscript"/>
        </w:rPr>
        <w:t>2</w:t>
      </w:r>
      <w:r>
        <w:rPr>
          <w:rFonts w:hint="eastAsia" w:asciiTheme="minorEastAsia" w:hAnsiTheme="minorEastAsia" w:cstheme="minorEastAsia"/>
          <w:sz w:val="28"/>
          <w:szCs w:val="28"/>
        </w:rPr>
        <w:t>捕集、利用与封存关键技术集成和大规模低能耗燃烧后CO</w:t>
      </w:r>
      <w:r>
        <w:rPr>
          <w:rFonts w:hint="eastAsia" w:asciiTheme="minorEastAsia" w:hAnsiTheme="minorEastAsia" w:cstheme="minorEastAsia"/>
          <w:sz w:val="28"/>
          <w:szCs w:val="28"/>
          <w:vertAlign w:val="subscript"/>
        </w:rPr>
        <w:t>2</w:t>
      </w:r>
      <w:r>
        <w:rPr>
          <w:rFonts w:hint="eastAsia" w:asciiTheme="minorEastAsia" w:hAnsiTheme="minorEastAsia" w:cstheme="minorEastAsia"/>
          <w:sz w:val="28"/>
          <w:szCs w:val="28"/>
        </w:rPr>
        <w:t>捕集工程关键技术研究示范。</w:t>
      </w:r>
    </w:p>
    <w:bookmarkEnd w:id="64"/>
    <w:bookmarkEnd w:id="65"/>
    <w:p>
      <w:pPr>
        <w:spacing w:line="520" w:lineRule="exact"/>
        <w:ind w:firstLine="560" w:firstLineChars="200"/>
        <w:rPr>
          <w:rFonts w:asciiTheme="minorEastAsia" w:hAnsiTheme="minorEastAsia" w:cstheme="minorEastAsia"/>
          <w:sz w:val="28"/>
          <w:szCs w:val="28"/>
        </w:rPr>
      </w:pPr>
    </w:p>
    <w:p>
      <w:pPr>
        <w:spacing w:line="520" w:lineRule="exact"/>
        <w:ind w:firstLine="600" w:firstLineChars="200"/>
        <w:rPr>
          <w:rFonts w:ascii="黑体" w:hAnsi="黑体" w:eastAsia="黑体" w:cs="黑体"/>
          <w:sz w:val="30"/>
          <w:szCs w:val="30"/>
        </w:rPr>
      </w:pPr>
      <w:bookmarkStart w:id="66" w:name="_Toc83540957"/>
      <w:bookmarkStart w:id="67" w:name="_Toc31549"/>
      <w:r>
        <w:rPr>
          <w:rFonts w:hint="eastAsia" w:ascii="黑体" w:hAnsi="黑体" w:eastAsia="黑体" w:cs="黑体"/>
          <w:sz w:val="30"/>
          <w:szCs w:val="30"/>
        </w:rPr>
        <w:t xml:space="preserve">第三节  </w:t>
      </w:r>
      <w:bookmarkEnd w:id="66"/>
      <w:bookmarkEnd w:id="67"/>
      <w:r>
        <w:rPr>
          <w:rFonts w:hint="eastAsia" w:ascii="黑体" w:hAnsi="黑体" w:eastAsia="黑体" w:cs="黑体"/>
          <w:sz w:val="30"/>
          <w:szCs w:val="30"/>
        </w:rPr>
        <w:t>打造新型化工冶金产业集群</w:t>
      </w:r>
    </w:p>
    <w:p>
      <w:pPr>
        <w:spacing w:line="520" w:lineRule="exact"/>
        <w:ind w:firstLine="560" w:firstLineChars="200"/>
        <w:rPr>
          <w:rFonts w:asciiTheme="minorEastAsia" w:hAnsiTheme="minorEastAsia" w:cstheme="minorEastAsia"/>
          <w:sz w:val="28"/>
          <w:szCs w:val="28"/>
        </w:rPr>
      </w:pPr>
      <w:r>
        <w:rPr>
          <w:rFonts w:hint="eastAsia" w:ascii="黑体" w:hAnsi="黑体" w:eastAsia="黑体" w:cs="黑体"/>
          <w:sz w:val="28"/>
          <w:szCs w:val="28"/>
        </w:rPr>
        <w:t>煤化工。</w:t>
      </w:r>
      <w:r>
        <w:rPr>
          <w:rFonts w:hint="eastAsia" w:asciiTheme="minorEastAsia" w:hAnsiTheme="minorEastAsia" w:cstheme="minorEastAsia"/>
          <w:sz w:val="28"/>
          <w:szCs w:val="28"/>
        </w:rPr>
        <w:t>依托现代煤化工循环产业链建设项目，积极引进消化吸收现代煤化工技术：优先开展焦炭技术升级，突破焦炉气、焦油精苯副产品回收技术，重点发展煤焦化→焦炉煤气→甲醇→芳烃深加工产业链；发展煤制烯烃聚乙烯、聚丙烯和醋酸、醋酣、聚乙烯醇等精细、高端产品，延伸发展工程塑料及树脂、合成橡胶等精细化工下游产品；重视煤制烯烃副产物煤基混合碳四的延伸利用。支持采用煤气化联合循环发电技术、煤分级利用技术，降低煤化工装置二氧化碳排放，提高能源利用率；鼓励采用闭路循环、空冷技术、水煤浆气化技术降低水资源消耗，重视提高水的再生和回用。</w:t>
      </w:r>
    </w:p>
    <w:p>
      <w:pPr>
        <w:spacing w:line="520" w:lineRule="exact"/>
        <w:ind w:firstLine="562" w:firstLineChars="200"/>
        <w:rPr>
          <w:rFonts w:asciiTheme="minorEastAsia" w:hAnsiTheme="minorEastAsia" w:cstheme="minorEastAsia"/>
          <w:spacing w:val="-6"/>
          <w:sz w:val="28"/>
          <w:szCs w:val="28"/>
        </w:rPr>
      </w:pPr>
      <w:r>
        <w:rPr>
          <w:rFonts w:hint="eastAsia" w:asciiTheme="minorEastAsia" w:hAnsiTheme="minorEastAsia" w:cstheme="minorEastAsia"/>
          <w:b/>
          <w:sz w:val="28"/>
          <w:szCs w:val="28"/>
        </w:rPr>
        <w:t>硫化工。</w:t>
      </w:r>
      <w:r>
        <w:rPr>
          <w:rFonts w:hint="eastAsia" w:asciiTheme="minorEastAsia" w:hAnsiTheme="minorEastAsia" w:cstheme="minorEastAsia"/>
          <w:sz w:val="28"/>
          <w:szCs w:val="28"/>
        </w:rPr>
        <w:t>以煤化工副产物硫酸、硫化氢、二氧化硫为原料，延伸发展工业级精细硫化学品、食品及硫化学品、电子级硫化学品，重点提升氯磺酸、二硫化碳、硫酸二甲酯、甲硫醇、环丁砜、硫酸肼等中间产品性能，向医药、农药、染料、助剂等应用领域拓展。支持硫化工企业与氯碱化工、合成氨化工相结合，合理配置资源、优化工艺路线；鼓励硫酸企业配套磷复肥、硫酸铝等装置，回收利用稀硫酸、硫酸铵等副产物。</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矿山资源绿色开采及综合利用技术。</w:t>
      </w:r>
      <w:r>
        <w:rPr>
          <w:rFonts w:hint="eastAsia" w:asciiTheme="minorEastAsia" w:hAnsiTheme="minorEastAsia" w:cstheme="minorEastAsia"/>
          <w:sz w:val="28"/>
          <w:szCs w:val="28"/>
        </w:rPr>
        <w:t>开展硫铁矿、白云岩选矿、硫铁钛矿等矿产资源开发技术集成应用，优化工艺流程，采用无废或少废工艺，提高选矿废水重复利用及矿山固体废弃物综合利用水平。实施矿产资源节约与综合利用示范，重点推进共伴生有色多金属、难选冶黑色金属、矿山固体废弃物、多金属尾矿资源、中低品位矿产资源综合开发利用。创新高效协同开采技术和规模绿色开采技术，加强研发适合我市特点的新资源技术。</w:t>
      </w:r>
    </w:p>
    <w:p>
      <w:pPr>
        <w:pStyle w:val="5"/>
        <w:spacing w:line="520" w:lineRule="exact"/>
        <w:ind w:firstLine="538" w:firstLineChars="200"/>
      </w:pPr>
      <w:r>
        <w:rPr>
          <w:rFonts w:hint="eastAsia" w:asciiTheme="minorEastAsia" w:hAnsiTheme="minorEastAsia" w:cstheme="minorEastAsia"/>
          <w:b/>
          <w:bCs/>
          <w:spacing w:val="-6"/>
          <w:sz w:val="28"/>
          <w:szCs w:val="28"/>
        </w:rPr>
        <w:t>有色金属深加工技术。</w:t>
      </w:r>
      <w:r>
        <w:rPr>
          <w:rFonts w:hint="eastAsia" w:asciiTheme="minorEastAsia" w:hAnsiTheme="minorEastAsia" w:cstheme="minorEastAsia"/>
          <w:spacing w:val="-6"/>
          <w:sz w:val="28"/>
          <w:szCs w:val="28"/>
        </w:rPr>
        <w:t>围绕铅铜锌冶炼、铅技改升级等项目，培育发展有色金属新材料加工企业集群。构建锌冶炼锌产品产业链技术体系。提高铅冶炼技术水平层次，发展高品质精铅，以铅精矿、铅锑矿及部分锌浸出渣的含铅混合料为原料开展电铅加工。提升铜、铅、锌采矿、冶炼生产技术装备和工艺水平。</w:t>
      </w:r>
      <w:bookmarkStart w:id="68" w:name="_Toc19192"/>
      <w:bookmarkStart w:id="69" w:name="_Toc83540958"/>
    </w:p>
    <w:p>
      <w:pPr>
        <w:spacing w:line="520" w:lineRule="exact"/>
        <w:jc w:val="center"/>
        <w:rPr>
          <w:rFonts w:hint="eastAsia" w:ascii="黑体" w:hAnsi="黑体" w:eastAsia="黑体" w:cs="黑体"/>
          <w:sz w:val="32"/>
          <w:szCs w:val="32"/>
        </w:rPr>
      </w:pPr>
    </w:p>
    <w:p>
      <w:pPr>
        <w:spacing w:line="520" w:lineRule="exact"/>
        <w:jc w:val="center"/>
        <w:rPr>
          <w:rFonts w:ascii="黑体" w:hAnsi="黑体" w:eastAsia="黑体" w:cs="黑体"/>
          <w:sz w:val="32"/>
          <w:szCs w:val="32"/>
        </w:rPr>
      </w:pPr>
      <w:r>
        <w:rPr>
          <w:rFonts w:hint="eastAsia" w:ascii="黑体" w:hAnsi="黑体" w:eastAsia="黑体" w:cs="黑体"/>
          <w:sz w:val="32"/>
          <w:szCs w:val="32"/>
        </w:rPr>
        <w:t>第八章  加快培育新兴产业</w:t>
      </w:r>
      <w:bookmarkEnd w:id="68"/>
      <w:bookmarkEnd w:id="69"/>
    </w:p>
    <w:p>
      <w:pPr>
        <w:spacing w:line="520" w:lineRule="exact"/>
        <w:rPr>
          <w:rFonts w:asciiTheme="minorEastAsia" w:hAnsiTheme="minorEastAsia" w:cstheme="minorEastAsia"/>
          <w:sz w:val="28"/>
          <w:szCs w:val="28"/>
        </w:rPr>
      </w:pPr>
    </w:p>
    <w:p>
      <w:pPr>
        <w:spacing w:line="520" w:lineRule="exact"/>
        <w:ind w:firstLine="600" w:firstLineChars="200"/>
        <w:rPr>
          <w:rFonts w:ascii="黑体" w:hAnsi="黑体" w:eastAsia="黑体" w:cs="黑体"/>
          <w:sz w:val="30"/>
          <w:szCs w:val="30"/>
        </w:rPr>
      </w:pPr>
      <w:bookmarkStart w:id="70" w:name="_Toc83540959"/>
      <w:bookmarkStart w:id="71" w:name="_Toc29672"/>
      <w:r>
        <w:rPr>
          <w:rFonts w:hint="eastAsia" w:ascii="黑体" w:hAnsi="黑体" w:eastAsia="黑体" w:cs="黑体"/>
          <w:sz w:val="30"/>
          <w:szCs w:val="30"/>
        </w:rPr>
        <w:t>第一节  以大数据技术推动数字经济发展</w:t>
      </w:r>
      <w:bookmarkEnd w:id="70"/>
      <w:bookmarkEnd w:id="71"/>
    </w:p>
    <w:p>
      <w:pPr>
        <w:spacing w:line="50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打好大数据发展起步基础。</w:t>
      </w:r>
      <w:r>
        <w:rPr>
          <w:rFonts w:hint="eastAsia" w:asciiTheme="minorEastAsia" w:hAnsiTheme="minorEastAsia" w:cstheme="minorEastAsia"/>
          <w:sz w:val="28"/>
          <w:szCs w:val="28"/>
        </w:rPr>
        <w:t>科学规划我市经济社会各领域数字化转型和大数据产业发展目标任务，打造我市云计算数据中心和大数据产业基地，先期在工业大数据平台建设、政务云建设、重点行业大数据应用、城市大脑数据平台建设等方面破题起步，尽快形成巴彦淖尔市大数据产业架构，到2025年</w:t>
      </w:r>
      <w:r>
        <w:rPr>
          <w:rFonts w:hint="eastAsia" w:asciiTheme="minorEastAsia" w:hAnsiTheme="minorEastAsia" w:cstheme="minorEastAsia"/>
          <w:sz w:val="28"/>
          <w:szCs w:val="28"/>
          <w:lang w:eastAsia="zh-CN"/>
        </w:rPr>
        <w:t>初步</w:t>
      </w:r>
      <w:r>
        <w:rPr>
          <w:rFonts w:hint="eastAsia" w:asciiTheme="minorEastAsia" w:hAnsiTheme="minorEastAsia" w:cstheme="minorEastAsia"/>
          <w:sz w:val="28"/>
          <w:szCs w:val="28"/>
        </w:rPr>
        <w:t>建成技术先进、应用多元、保障有力的数字经济产业体系。</w:t>
      </w:r>
    </w:p>
    <w:p>
      <w:pPr>
        <w:spacing w:line="500" w:lineRule="exact"/>
        <w:ind w:firstLine="562" w:firstLineChars="200"/>
        <w:rPr>
          <w:rFonts w:asciiTheme="minorEastAsia" w:hAnsiTheme="minorEastAsia" w:cstheme="minorEastAsia"/>
          <w:spacing w:val="-6"/>
          <w:sz w:val="28"/>
          <w:szCs w:val="28"/>
        </w:rPr>
      </w:pPr>
      <w:r>
        <w:rPr>
          <w:rFonts w:hint="eastAsia" w:asciiTheme="minorEastAsia" w:hAnsiTheme="minorEastAsia" w:cstheme="minorEastAsia"/>
          <w:b/>
          <w:bCs/>
          <w:sz w:val="28"/>
          <w:szCs w:val="28"/>
        </w:rPr>
        <w:t>推动大数据技术融合应用。</w:t>
      </w:r>
      <w:r>
        <w:rPr>
          <w:rFonts w:hint="eastAsia" w:asciiTheme="minorEastAsia" w:hAnsiTheme="minorEastAsia" w:cstheme="minorEastAsia"/>
          <w:sz w:val="28"/>
          <w:szCs w:val="28"/>
        </w:rPr>
        <w:t>推</w:t>
      </w:r>
      <w:r>
        <w:rPr>
          <w:rFonts w:hint="eastAsia" w:asciiTheme="minorEastAsia" w:hAnsiTheme="minorEastAsia" w:cstheme="minorEastAsia"/>
          <w:spacing w:val="-6"/>
          <w:sz w:val="28"/>
          <w:szCs w:val="28"/>
        </w:rPr>
        <w:t>动大数据在重点产业领域全流程应用，优先发展工业企业大数据应用，实现流水线作业数据监控，培育数据驱动管理模式。加快农村牧区数字化进程，构建适应农牧业技术创新的大数据支撑体系，实现优势动植物及组培品种全产业链大数据智慧管理。支持开展政务、商务、物流、医疗、教育、文旅等领域大数据应用示范，重点开展大数据与云计算、移动互联网、物联网及智慧城市、智慧工厂、智慧社区等技术</w:t>
      </w:r>
      <w:r>
        <w:rPr>
          <w:rFonts w:hint="eastAsia" w:asciiTheme="minorEastAsia" w:hAnsiTheme="minorEastAsia" w:cstheme="minorEastAsia"/>
          <w:spacing w:val="-6"/>
          <w:sz w:val="28"/>
          <w:szCs w:val="28"/>
          <w:lang w:eastAsia="zh-CN"/>
        </w:rPr>
        <w:t>应用与</w:t>
      </w:r>
      <w:r>
        <w:rPr>
          <w:rFonts w:hint="eastAsia" w:asciiTheme="minorEastAsia" w:hAnsiTheme="minorEastAsia" w:cstheme="minorEastAsia"/>
          <w:spacing w:val="-6"/>
          <w:sz w:val="28"/>
          <w:szCs w:val="28"/>
        </w:rPr>
        <w:t>集成创新。</w:t>
      </w:r>
    </w:p>
    <w:p>
      <w:pPr>
        <w:spacing w:line="500" w:lineRule="exact"/>
        <w:ind w:firstLine="536" w:firstLineChars="200"/>
        <w:rPr>
          <w:rFonts w:asciiTheme="minorEastAsia" w:hAnsiTheme="minorEastAsia" w:cstheme="minorEastAsia"/>
          <w:spacing w:val="-6"/>
          <w:sz w:val="28"/>
          <w:szCs w:val="28"/>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22" w:type="dxa"/>
          </w:tcPr>
          <w:p>
            <w:pPr>
              <w:spacing w:beforeLines="50" w:line="520" w:lineRule="exact"/>
              <w:ind w:left="210" w:leftChars="100" w:right="210" w:rightChars="100"/>
              <w:jc w:val="center"/>
              <w:rPr>
                <w:rFonts w:ascii="幼圆" w:hAnsi="幼圆" w:eastAsia="幼圆" w:cs="幼圆"/>
                <w:b/>
                <w:bCs/>
                <w:sz w:val="24"/>
                <w:szCs w:val="24"/>
              </w:rPr>
            </w:pPr>
            <w:r>
              <w:rPr>
                <w:rFonts w:hint="eastAsia" w:ascii="幼圆" w:hAnsi="幼圆" w:eastAsia="幼圆" w:cs="幼圆"/>
                <w:b/>
                <w:bCs/>
                <w:sz w:val="24"/>
                <w:szCs w:val="24"/>
              </w:rPr>
              <w:t>专栏</w:t>
            </w:r>
            <w:r>
              <w:rPr>
                <w:rFonts w:hint="eastAsia" w:ascii="幼圆" w:hAnsi="幼圆" w:eastAsia="幼圆" w:cs="幼圆"/>
                <w:b/>
                <w:bCs/>
                <w:sz w:val="24"/>
                <w:szCs w:val="24"/>
                <w:lang w:val="en-US" w:eastAsia="zh-CN"/>
              </w:rPr>
              <w:t>9</w:t>
            </w:r>
            <w:r>
              <w:rPr>
                <w:rFonts w:hint="eastAsia" w:ascii="幼圆" w:hAnsi="幼圆" w:eastAsia="幼圆" w:cs="幼圆"/>
                <w:b/>
                <w:bCs/>
                <w:sz w:val="24"/>
                <w:szCs w:val="24"/>
              </w:rPr>
              <w:t xml:space="preserve">  大数据平台开发与应用重点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8522" w:type="dxa"/>
          </w:tcPr>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firstLine="481" w:firstLineChars="200"/>
              <w:textAlignment w:val="auto"/>
              <w:rPr>
                <w:rFonts w:asciiTheme="minorEastAsia" w:hAnsiTheme="minorEastAsia" w:eastAsiaTheme="minorEastAsia" w:cstheme="minorEastAsia"/>
                <w:spacing w:val="0"/>
                <w:sz w:val="24"/>
                <w:szCs w:val="24"/>
              </w:rPr>
            </w:pPr>
            <w:r>
              <w:rPr>
                <w:rFonts w:hint="eastAsia" w:asciiTheme="minorEastAsia" w:hAnsiTheme="minorEastAsia" w:cstheme="minorEastAsia"/>
                <w:b/>
                <w:bCs/>
                <w:sz w:val="24"/>
                <w:szCs w:val="24"/>
              </w:rPr>
              <w:t>1</w:t>
            </w:r>
            <w:r>
              <w:rPr>
                <w:rFonts w:hint="eastAsia" w:asciiTheme="minorEastAsia" w:hAnsiTheme="minorEastAsia" w:eastAsiaTheme="minorEastAsia" w:cstheme="minorEastAsia"/>
                <w:b/>
                <w:bCs/>
                <w:spacing w:val="0"/>
                <w:sz w:val="24"/>
                <w:szCs w:val="24"/>
              </w:rPr>
              <w:t>、专用大数据平台建设。</w:t>
            </w:r>
            <w:r>
              <w:rPr>
                <w:rFonts w:hint="eastAsia" w:asciiTheme="minorEastAsia" w:hAnsiTheme="minorEastAsia" w:eastAsiaTheme="minorEastAsia" w:cstheme="minorEastAsia"/>
                <w:spacing w:val="0"/>
                <w:sz w:val="24"/>
                <w:szCs w:val="24"/>
              </w:rPr>
              <w:t>加强智慧农牧业大数据平台，设施园区数字化管理系统，向日葵全产业链大数据管理平台，现代农牧业供应链金融服务平台</w:t>
            </w:r>
            <w:r>
              <w:rPr>
                <w:rFonts w:hint="eastAsia" w:asciiTheme="minorEastAsia" w:hAnsiTheme="minorEastAsia" w:eastAsiaTheme="minorEastAsia" w:cstheme="minorEastAsia"/>
                <w:spacing w:val="0"/>
                <w:sz w:val="24"/>
                <w:szCs w:val="24"/>
                <w:lang w:eastAsia="zh-CN"/>
              </w:rPr>
              <w:t>等专用大数据平台</w:t>
            </w:r>
            <w:r>
              <w:rPr>
                <w:rFonts w:hint="eastAsia" w:asciiTheme="minorEastAsia" w:hAnsiTheme="minorEastAsia" w:eastAsiaTheme="minorEastAsia" w:cstheme="minorEastAsia"/>
                <w:spacing w:val="0"/>
                <w:sz w:val="24"/>
                <w:szCs w:val="24"/>
              </w:rPr>
              <w:t>建设，加快发展智慧农牧业。</w:t>
            </w:r>
          </w:p>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firstLine="481" w:firstLineChars="200"/>
              <w:textAlignment w:val="auto"/>
              <w:rPr>
                <w:rFonts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spacing w:val="0"/>
                <w:sz w:val="24"/>
                <w:szCs w:val="24"/>
              </w:rPr>
              <w:t>2、</w:t>
            </w:r>
            <w:r>
              <w:rPr>
                <w:rFonts w:hint="eastAsia" w:asciiTheme="minorEastAsia" w:hAnsiTheme="minorEastAsia" w:eastAsiaTheme="minorEastAsia" w:cstheme="minorEastAsia"/>
                <w:b/>
                <w:bCs/>
                <w:spacing w:val="0"/>
                <w:sz w:val="24"/>
                <w:szCs w:val="24"/>
              </w:rPr>
              <w:t>重点行业大数据平台建设与应用。</w:t>
            </w:r>
            <w:r>
              <w:rPr>
                <w:rFonts w:hint="eastAsia" w:asciiTheme="minorEastAsia" w:hAnsiTheme="minorEastAsia" w:eastAsiaTheme="minorEastAsia" w:cstheme="minorEastAsia"/>
                <w:spacing w:val="0"/>
                <w:sz w:val="24"/>
                <w:szCs w:val="24"/>
              </w:rPr>
              <w:t>加快面向能源、交通、电力、食品、商贸、金融、文化创意、公共安全等领域开展大数据平台开发与应用，推进行业数据资源采集、整合与数据共享。</w:t>
            </w:r>
          </w:p>
          <w:p>
            <w:pPr>
              <w:keepNext w:val="0"/>
              <w:keepLines w:val="0"/>
              <w:pageBreakBefore w:val="0"/>
              <w:widowControl w:val="0"/>
              <w:kinsoku/>
              <w:wordWrap/>
              <w:overflowPunct/>
              <w:topLinePunct w:val="0"/>
              <w:autoSpaceDE/>
              <w:autoSpaceDN/>
              <w:bidi w:val="0"/>
              <w:adjustRightInd/>
              <w:snapToGrid/>
              <w:spacing w:afterLines="50" w:line="440" w:lineRule="exact"/>
              <w:ind w:left="210" w:leftChars="100" w:right="210" w:rightChars="100" w:firstLine="481" w:firstLineChars="200"/>
              <w:textAlignment w:val="auto"/>
              <w:rPr>
                <w:rFonts w:ascii="幼圆" w:hAnsi="幼圆" w:eastAsia="幼圆" w:cs="幼圆"/>
                <w:b/>
                <w:bCs/>
                <w:sz w:val="24"/>
                <w:szCs w:val="24"/>
              </w:rPr>
            </w:pPr>
            <w:r>
              <w:rPr>
                <w:rFonts w:hint="eastAsia" w:asciiTheme="minorEastAsia" w:hAnsiTheme="minorEastAsia" w:eastAsiaTheme="minorEastAsia" w:cstheme="minorEastAsia"/>
                <w:b/>
                <w:bCs/>
                <w:spacing w:val="0"/>
                <w:sz w:val="24"/>
                <w:szCs w:val="24"/>
                <w:lang w:val="en-US" w:eastAsia="zh-CN"/>
              </w:rPr>
              <w:t>3</w:t>
            </w:r>
            <w:r>
              <w:rPr>
                <w:rFonts w:hint="eastAsia" w:asciiTheme="minorEastAsia" w:hAnsiTheme="minorEastAsia" w:eastAsiaTheme="minorEastAsia" w:cstheme="minorEastAsia"/>
                <w:b/>
                <w:bCs/>
                <w:spacing w:val="0"/>
                <w:sz w:val="24"/>
                <w:szCs w:val="24"/>
              </w:rPr>
              <w:t>、公共服务大数据应用。</w:t>
            </w:r>
            <w:r>
              <w:rPr>
                <w:rFonts w:hint="eastAsia" w:asciiTheme="minorEastAsia" w:hAnsiTheme="minorEastAsia" w:eastAsiaTheme="minorEastAsia" w:cstheme="minorEastAsia"/>
                <w:spacing w:val="0"/>
                <w:sz w:val="24"/>
                <w:szCs w:val="24"/>
              </w:rPr>
              <w:t>以电子政务和智慧城市建设为牵引，开展大数据在政务、教育、健康、社保、就业等民生领域应用，建设城市大脑管理数据分析平台。</w:t>
            </w:r>
          </w:p>
        </w:tc>
      </w:tr>
    </w:tbl>
    <w:p>
      <w:pPr>
        <w:spacing w:line="520" w:lineRule="exact"/>
        <w:ind w:firstLine="600" w:firstLineChars="200"/>
        <w:rPr>
          <w:rFonts w:ascii="黑体" w:hAnsi="黑体" w:eastAsia="黑体" w:cs="黑体"/>
          <w:sz w:val="30"/>
          <w:szCs w:val="30"/>
        </w:rPr>
      </w:pPr>
      <w:bookmarkStart w:id="72" w:name="_Toc83540960"/>
      <w:bookmarkStart w:id="73" w:name="_Toc11170"/>
      <w:r>
        <w:rPr>
          <w:rFonts w:hint="eastAsia" w:ascii="黑体" w:hAnsi="黑体" w:eastAsia="黑体" w:cs="黑体"/>
          <w:sz w:val="30"/>
          <w:szCs w:val="30"/>
        </w:rPr>
        <w:t>第二节  提升新一代信息技术</w:t>
      </w:r>
      <w:bookmarkEnd w:id="72"/>
      <w:bookmarkEnd w:id="73"/>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拓展新一代信息技术应用空间。</w:t>
      </w:r>
      <w:r>
        <w:rPr>
          <w:rFonts w:hint="eastAsia" w:asciiTheme="minorEastAsia" w:hAnsiTheme="minorEastAsia" w:cstheme="minorEastAsia"/>
          <w:sz w:val="28"/>
          <w:szCs w:val="28"/>
        </w:rPr>
        <w:t>顺应新一代信息技术网络化、智能化趋势，开展5G+新一代工业互联网、物联网、大数据、云计算、高性能应用软件等技术集成创新与应用。有序发展专有云，积极开发满足不同需求的云服务新业态、新模式和云计算应用平台。整合升级电子政务系统及软硬件资源，推动办公模式云端化、移动化。支持开展商务、物流、医疗、教育等领域云计算应用，研发面向云计算、大数据的信息安全软件及系统，重点突破云计算平台大规模资源管理与调度、安全运行保障关键技术。</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发展“互联网+”技术集成应用。</w:t>
      </w:r>
      <w:r>
        <w:rPr>
          <w:rFonts w:hint="eastAsia" w:asciiTheme="minorEastAsia" w:hAnsiTheme="minorEastAsia" w:cstheme="minorEastAsia"/>
          <w:sz w:val="28"/>
          <w:szCs w:val="28"/>
        </w:rPr>
        <w:t>面向能源、新型化工、有色金属、装备制造、农畜产品加工、新材料等重点行业，开展“5G+新一代工业互联网”技术应用，实现产业链各环节智能协同。积极开展个性化定制、云制造等新型制造模式，催生在线研发设计、企业运行在线监测、协同供应链管理等新业态，提供智能车间、智能工厂、在线产品展示营销的技术保障。构建“互联网+”农牧业技术支撑体系，开展物联网技术在农牧业中的应用研究，满足绿色有机农畜产品可追溯公共服务平台的技术需求。支持建设基于互联网的全产业链智慧农牧业系统，培育农村牧区电商、直播带货、“仓储+运输”等“互联网+”新业态。发展“互联网+”生态，建立地理空间基础框架和共享平台。促进“互联网+”医疗健康，优化智慧医疗服务流程，实现在线健康咨询与诊疗，推进跨部门多码融合，探索创新医疗新模式。</w:t>
      </w:r>
    </w:p>
    <w:tbl>
      <w:tblPr>
        <w:tblStyle w:val="14"/>
        <w:tblpPr w:leftFromText="180" w:rightFromText="180" w:vertAnchor="text" w:horzAnchor="page" w:tblpX="1824" w:tblpY="75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Lines="50" w:line="520" w:lineRule="exact"/>
              <w:ind w:left="210" w:leftChars="100" w:right="210" w:rightChars="100"/>
              <w:jc w:val="center"/>
              <w:rPr>
                <w:rFonts w:ascii="幼圆" w:hAnsi="幼圆" w:eastAsia="幼圆" w:cs="幼圆"/>
                <w:b/>
                <w:bCs/>
                <w:sz w:val="24"/>
                <w:szCs w:val="24"/>
              </w:rPr>
            </w:pPr>
            <w:r>
              <w:rPr>
                <w:rFonts w:hint="eastAsia" w:ascii="幼圆" w:hAnsi="幼圆" w:eastAsia="幼圆" w:cs="幼圆"/>
                <w:b/>
                <w:bCs/>
                <w:sz w:val="24"/>
                <w:szCs w:val="24"/>
              </w:rPr>
              <w:t>专栏1</w:t>
            </w:r>
            <w:r>
              <w:rPr>
                <w:rFonts w:hint="eastAsia" w:ascii="幼圆" w:hAnsi="幼圆" w:eastAsia="幼圆" w:cs="幼圆"/>
                <w:b/>
                <w:bCs/>
                <w:sz w:val="24"/>
                <w:szCs w:val="24"/>
                <w:lang w:val="en-US" w:eastAsia="zh-CN"/>
              </w:rPr>
              <w:t>0</w:t>
            </w:r>
            <w:r>
              <w:rPr>
                <w:rFonts w:hint="eastAsia" w:ascii="幼圆" w:hAnsi="幼圆" w:eastAsia="幼圆" w:cs="幼圆"/>
                <w:b/>
                <w:bCs/>
                <w:sz w:val="24"/>
                <w:szCs w:val="24"/>
              </w:rPr>
              <w:t xml:space="preserve">  “互联网+”技术集成应用重点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80" w:lineRule="exact"/>
              <w:ind w:left="210" w:leftChars="100" w:right="210" w:rightChars="100"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新一代工业互联网配套技术研究应用，新一代工业互联网大数据汇聚，重点行业企业环境质量与主要污染物排放远程在线监测信息云平台建设。</w:t>
            </w:r>
          </w:p>
          <w:p>
            <w:pPr>
              <w:spacing w:line="480" w:lineRule="exact"/>
              <w:ind w:left="210" w:leftChars="100" w:right="210" w:rightChars="100"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基于物联网与大数据技术的农畜产品质量安全追溯系统，基于传感器、物联网、遥感技术的农业灾情与牧业疫情监测预警系统，智能工厂化生产温室及农业物联网监控管理系统建设。</w:t>
            </w:r>
          </w:p>
          <w:p>
            <w:pPr>
              <w:spacing w:line="480" w:lineRule="exact"/>
              <w:ind w:left="210" w:leftChars="100" w:right="210" w:rightChars="100" w:firstLine="480" w:firstLineChars="200"/>
              <w:rPr>
                <w:rFonts w:ascii="幼圆" w:hAnsi="幼圆" w:eastAsia="幼圆" w:cs="幼圆"/>
                <w:b/>
                <w:bCs/>
                <w:sz w:val="24"/>
                <w:szCs w:val="24"/>
              </w:rPr>
            </w:pPr>
            <w:r>
              <w:rPr>
                <w:rFonts w:hint="eastAsia" w:asciiTheme="minorEastAsia" w:hAnsiTheme="minorEastAsia" w:cstheme="minorEastAsia"/>
                <w:sz w:val="24"/>
                <w:szCs w:val="24"/>
              </w:rPr>
              <w:t>“互联网+”在商贸、物流、民生领域的推广应用。“互联网+”医疗技术的在线健康咨询、复诊、审方、用药指导、电子处方流转、药品配送、家庭心电监测等技术应用。</w:t>
            </w:r>
          </w:p>
        </w:tc>
      </w:tr>
    </w:tbl>
    <w:p>
      <w:pPr>
        <w:spacing w:line="520" w:lineRule="exact"/>
        <w:ind w:firstLine="600" w:firstLineChars="200"/>
        <w:rPr>
          <w:rFonts w:ascii="黑体" w:hAnsi="黑体" w:eastAsia="黑体" w:cs="黑体"/>
          <w:sz w:val="30"/>
          <w:szCs w:val="30"/>
        </w:rPr>
      </w:pPr>
      <w:bookmarkStart w:id="74" w:name="_Toc15367"/>
      <w:bookmarkStart w:id="75" w:name="_Toc83540961"/>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第三节  支撑现代装备制造产业</w:t>
      </w:r>
      <w:bookmarkEnd w:id="74"/>
      <w:bookmarkEnd w:id="75"/>
      <w:r>
        <w:rPr>
          <w:rFonts w:hint="eastAsia" w:ascii="黑体" w:hAnsi="黑体" w:eastAsia="黑体" w:cs="黑体"/>
          <w:sz w:val="30"/>
          <w:szCs w:val="30"/>
        </w:rPr>
        <w:t>集群发展</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支撑构建现代装备制造产业集群。</w:t>
      </w:r>
      <w:r>
        <w:rPr>
          <w:rFonts w:hint="eastAsia" w:asciiTheme="minorEastAsia" w:hAnsiTheme="minorEastAsia" w:cstheme="minorEastAsia"/>
          <w:sz w:val="28"/>
          <w:szCs w:val="28"/>
        </w:rPr>
        <w:t>发展绿色能源装备制造，打造北方智能风机装备制造基地。重点发展高端风机制造全产业链关键技术及关键配件产品、高效太阳能光伏组件，研究开发新型风电储能材料、储能装置及系统集成技术，风电场监控及风电控制系统辅助设备。加快农牧业智能装备制造现代产业园建设，围绕农作物耕、种、管、收、运、贮主要环节，发展适用智能化、多功能现代农牧业机械装备，大力开展智能化主机装备、复式作业装备和专用设备研究，支持装备制造企业整合外部产业链优质资源，确保产业创新能力持续增强。</w:t>
      </w:r>
    </w:p>
    <w:p>
      <w:pPr>
        <w:spacing w:line="520" w:lineRule="exact"/>
        <w:ind w:firstLine="562" w:firstLineChars="200"/>
        <w:rPr>
          <w:rFonts w:hint="eastAsia" w:asciiTheme="minorEastAsia" w:hAnsiTheme="minorEastAsia" w:cstheme="minorEastAsia"/>
          <w:sz w:val="28"/>
          <w:szCs w:val="28"/>
        </w:rPr>
      </w:pPr>
      <w:r>
        <w:rPr>
          <w:rFonts w:hint="eastAsia" w:asciiTheme="minorEastAsia" w:hAnsiTheme="minorEastAsia" w:cstheme="minorEastAsia"/>
          <w:b/>
          <w:bCs/>
          <w:sz w:val="28"/>
          <w:szCs w:val="28"/>
        </w:rPr>
        <w:t>强化装备制造基础能力。</w:t>
      </w:r>
      <w:r>
        <w:rPr>
          <w:rFonts w:hint="eastAsia" w:asciiTheme="minorEastAsia" w:hAnsiTheme="minorEastAsia" w:cstheme="minorEastAsia"/>
          <w:sz w:val="28"/>
          <w:szCs w:val="28"/>
        </w:rPr>
        <w:t>开展装备制造关键共性基础工艺研究和先进成型、加工等关键制造技术攻关，加快高端装备新产品研发及新技术产业化应用。推进装备制造智能化升级，开展以数字化系统集成技术为核心的专用智能制造装备研发，优先在装备制造重点企业建设数字化车间，实施关键工序智能化、生产过程智能优化控制。开展装备制造改造，推广轻量化、低功耗、易回收技术工艺，重点推进余热余压回收、水循环利用、重金属污染减量化、有害有毒原料替代等绿色工艺技术应用。</w:t>
      </w:r>
    </w:p>
    <w:tbl>
      <w:tblPr>
        <w:tblStyle w:val="14"/>
        <w:tblpPr w:leftFromText="180" w:rightFromText="180" w:vertAnchor="text" w:horzAnchor="page" w:tblpX="1799" w:tblpY="71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Lines="50" w:line="520" w:lineRule="exact"/>
              <w:ind w:left="210" w:leftChars="100" w:right="210" w:rightChars="100"/>
              <w:jc w:val="center"/>
              <w:rPr>
                <w:rFonts w:ascii="幼圆" w:hAnsi="幼圆" w:eastAsia="幼圆" w:cs="幼圆"/>
                <w:b/>
                <w:sz w:val="24"/>
                <w:szCs w:val="24"/>
              </w:rPr>
            </w:pPr>
            <w:r>
              <w:rPr>
                <w:rFonts w:hint="eastAsia" w:ascii="幼圆" w:hAnsi="幼圆" w:eastAsia="幼圆" w:cs="幼圆"/>
                <w:b/>
                <w:sz w:val="24"/>
                <w:szCs w:val="24"/>
              </w:rPr>
              <w:t>专栏1</w:t>
            </w:r>
            <w:r>
              <w:rPr>
                <w:rFonts w:hint="eastAsia" w:ascii="幼圆" w:hAnsi="幼圆" w:eastAsia="幼圆" w:cs="幼圆"/>
                <w:b/>
                <w:sz w:val="24"/>
                <w:szCs w:val="24"/>
                <w:lang w:val="en-US" w:eastAsia="zh-CN"/>
              </w:rPr>
              <w:t>1</w:t>
            </w:r>
            <w:r>
              <w:rPr>
                <w:rFonts w:hint="eastAsia" w:ascii="幼圆" w:hAnsi="幼圆" w:eastAsia="幼圆" w:cs="幼圆"/>
                <w:b/>
                <w:sz w:val="24"/>
                <w:szCs w:val="24"/>
              </w:rPr>
              <w:t xml:space="preserve">  装备制造关键技术与产品开发重点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80" w:lineRule="exact"/>
              <w:ind w:left="210" w:leftChars="100" w:right="210" w:rightChars="100" w:firstLine="436" w:firstLineChars="200"/>
              <w:rPr>
                <w:rFonts w:asciiTheme="minorEastAsia" w:hAnsiTheme="minorEastAsia" w:cstheme="minorEastAsia"/>
                <w:sz w:val="24"/>
                <w:szCs w:val="24"/>
              </w:rPr>
            </w:pPr>
            <w:r>
              <w:rPr>
                <w:rFonts w:hint="eastAsia" w:asciiTheme="minorEastAsia" w:hAnsiTheme="minorEastAsia" w:cstheme="minorEastAsia"/>
                <w:spacing w:val="-11"/>
                <w:sz w:val="24"/>
                <w:szCs w:val="24"/>
              </w:rPr>
              <w:t>高效、清洁、低碳、循环绿色技术体系，智能制造工业控制系统网络安全技术。</w:t>
            </w:r>
          </w:p>
          <w:p>
            <w:pPr>
              <w:spacing w:line="480" w:lineRule="exact"/>
              <w:ind w:left="210" w:leftChars="100" w:right="210" w:rightChars="100"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风电机组关键技术及关键配件产品，风电场监控系统、变频控制系统，边远牧区风光互补一体化装备技术，小型局域智能电网技术与装置。</w:t>
            </w:r>
          </w:p>
          <w:p>
            <w:pPr>
              <w:spacing w:line="480" w:lineRule="exact"/>
              <w:ind w:left="210" w:leftChars="100" w:right="210" w:rightChars="100" w:firstLine="480" w:firstLineChars="200"/>
              <w:rPr>
                <w:rFonts w:ascii="幼圆" w:hAnsi="幼圆" w:eastAsia="幼圆" w:cs="幼圆"/>
                <w:b/>
                <w:sz w:val="24"/>
                <w:szCs w:val="24"/>
              </w:rPr>
            </w:pPr>
            <w:r>
              <w:rPr>
                <w:rFonts w:hint="eastAsia" w:asciiTheme="minorEastAsia" w:hAnsiTheme="minorEastAsia" w:cstheme="minorEastAsia"/>
                <w:sz w:val="24"/>
                <w:szCs w:val="24"/>
              </w:rPr>
              <w:t>农牧业智能装备制造技术，农作物籽粒清选机系列、色选机配套系列技术升级，清洁能源智能新产品研发，主要农作物精量播种机、收获机、脱粒机新产品研发，农业废弃物和残膜机械化回收技术。</w:t>
            </w:r>
          </w:p>
        </w:tc>
      </w:tr>
    </w:tbl>
    <w:p>
      <w:pPr>
        <w:spacing w:line="520" w:lineRule="exact"/>
        <w:ind w:firstLine="600" w:firstLineChars="200"/>
        <w:rPr>
          <w:rFonts w:ascii="黑体" w:hAnsi="黑体" w:eastAsia="黑体" w:cs="黑体"/>
          <w:sz w:val="30"/>
          <w:szCs w:val="30"/>
        </w:rPr>
      </w:pPr>
      <w:bookmarkStart w:id="76" w:name="_Toc83540962"/>
      <w:bookmarkStart w:id="77" w:name="_Toc13970"/>
    </w:p>
    <w:p>
      <w:pPr>
        <w:spacing w:line="520" w:lineRule="exact"/>
        <w:ind w:firstLine="600" w:firstLineChars="200"/>
        <w:rPr>
          <w:rFonts w:ascii="黑体" w:hAnsi="黑体" w:eastAsia="黑体" w:cs="黑体"/>
          <w:sz w:val="30"/>
          <w:szCs w:val="30"/>
        </w:rPr>
      </w:pPr>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第四节  支撑新材料</w:t>
      </w:r>
      <w:bookmarkEnd w:id="76"/>
      <w:bookmarkEnd w:id="77"/>
      <w:r>
        <w:rPr>
          <w:rFonts w:hint="eastAsia" w:ascii="黑体" w:hAnsi="黑体" w:eastAsia="黑体" w:cs="黑体"/>
          <w:sz w:val="30"/>
          <w:szCs w:val="30"/>
        </w:rPr>
        <w:t>产业集群发展</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发展新型石墨材料。</w:t>
      </w:r>
      <w:r>
        <w:rPr>
          <w:rFonts w:hint="eastAsia" w:asciiTheme="minorEastAsia" w:hAnsiTheme="minorEastAsia" w:cstheme="minorEastAsia"/>
          <w:spacing w:val="-11"/>
          <w:sz w:val="28"/>
          <w:szCs w:val="28"/>
        </w:rPr>
        <w:t>充分</w:t>
      </w:r>
      <w:r>
        <w:rPr>
          <w:rFonts w:hint="eastAsia" w:asciiTheme="minorEastAsia" w:hAnsiTheme="minorEastAsia" w:cstheme="minorEastAsia"/>
          <w:sz w:val="28"/>
          <w:szCs w:val="28"/>
        </w:rPr>
        <w:t>发</w:t>
      </w:r>
      <w:r>
        <w:rPr>
          <w:rFonts w:hint="eastAsia" w:asciiTheme="minorEastAsia" w:hAnsiTheme="minorEastAsia" w:cstheme="minorEastAsia"/>
          <w:spacing w:val="-11"/>
          <w:sz w:val="28"/>
          <w:szCs w:val="28"/>
        </w:rPr>
        <w:t>挥境内石墨资源优势，突破石墨功能材料制备、应用和产业化关键技术，建立石墨新材料体系及制备工艺，开展石墨烯材料新品种、新工艺研究开发，突破石墨烯提纯与产业化制备技术与工艺，重视石墨烯复合材料在新能源、生物医药、电子信息、新型化工、节能环保领域应用研究。开发石墨烯防腐保温涂料、超高功率石墨电极、燃料电池氢能利用石墨电极制造技术。</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发展新型建筑材料。</w:t>
      </w:r>
      <w:r>
        <w:rPr>
          <w:rFonts w:hint="eastAsia" w:asciiTheme="minorEastAsia" w:hAnsiTheme="minorEastAsia" w:cstheme="minorEastAsia"/>
          <w:sz w:val="28"/>
          <w:szCs w:val="28"/>
        </w:rPr>
        <w:t>构建以新型墙体材料、新型复合材料、新型节能环保材料为主的建筑材料技术体系，提升轻质保温系列板材、屋面综合体等新型绿色节能建筑产品品种结构和性能。推进粉煤灰、电石废渣新型复合墙体技术升级。</w:t>
      </w:r>
    </w:p>
    <w:tbl>
      <w:tblPr>
        <w:tblStyle w:val="14"/>
        <w:tblpPr w:leftFromText="180" w:rightFromText="180" w:vertAnchor="text" w:horzAnchor="page" w:tblpX="1824" w:tblpY="41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Lines="50" w:line="520" w:lineRule="exact"/>
              <w:ind w:left="210" w:leftChars="100" w:right="210" w:rightChars="100"/>
              <w:jc w:val="center"/>
              <w:rPr>
                <w:rFonts w:ascii="幼圆" w:hAnsi="幼圆" w:eastAsia="幼圆" w:cs="幼圆"/>
                <w:b/>
                <w:sz w:val="24"/>
                <w:szCs w:val="24"/>
              </w:rPr>
            </w:pPr>
            <w:bookmarkStart w:id="78" w:name="_Toc83540963"/>
            <w:bookmarkStart w:id="79" w:name="_Toc3184"/>
            <w:r>
              <w:rPr>
                <w:rFonts w:hint="eastAsia" w:ascii="幼圆" w:hAnsi="幼圆" w:eastAsia="幼圆" w:cs="幼圆"/>
                <w:b/>
                <w:sz w:val="24"/>
                <w:szCs w:val="24"/>
              </w:rPr>
              <w:t>专栏1</w:t>
            </w:r>
            <w:r>
              <w:rPr>
                <w:rFonts w:hint="eastAsia" w:ascii="幼圆" w:hAnsi="幼圆" w:eastAsia="幼圆" w:cs="幼圆"/>
                <w:b/>
                <w:sz w:val="24"/>
                <w:szCs w:val="24"/>
                <w:lang w:val="en-US" w:eastAsia="zh-CN"/>
              </w:rPr>
              <w:t>2</w:t>
            </w:r>
            <w:r>
              <w:rPr>
                <w:rFonts w:hint="eastAsia" w:ascii="幼圆" w:hAnsi="幼圆" w:eastAsia="幼圆" w:cs="幼圆"/>
                <w:b/>
                <w:sz w:val="24"/>
                <w:szCs w:val="24"/>
              </w:rPr>
              <w:t xml:space="preserve">  新材料关键技术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spacing w:line="440" w:lineRule="exact"/>
              <w:ind w:left="210" w:leftChars="100" w:right="210" w:rightChars="100"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无机非金属材料制备技术。石英岩、石灰岩、白云石等深加工利用技术，光伏玻璃、工业固废改性石膏制备技术与工艺。</w:t>
            </w:r>
          </w:p>
          <w:p>
            <w:pPr>
              <w:spacing w:line="440" w:lineRule="exact"/>
              <w:ind w:left="210" w:leftChars="100" w:right="210" w:rightChars="100" w:firstLine="456"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球形石墨、高纯石墨、可膨胀石墨材料制备技术，石墨负极材料复合改进和高性能锂电池负极材料研发及产业化，石墨烯粉体、石墨烯电热布产品研发。</w:t>
            </w:r>
          </w:p>
          <w:p>
            <w:pPr>
              <w:spacing w:line="440" w:lineRule="exact"/>
              <w:ind w:left="210" w:leftChars="100" w:right="210" w:rightChars="100"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400公斤级蓝宝石晶体生长技术。晶体生长数字模拟分析预设和控制技术，单晶体生长控制技术。</w:t>
            </w:r>
          </w:p>
          <w:p>
            <w:pPr>
              <w:spacing w:line="440" w:lineRule="exact"/>
              <w:ind w:left="210" w:leftChars="100" w:right="210" w:rightChars="100" w:firstLine="481" w:firstLineChars="200"/>
              <w:rPr>
                <w:rFonts w:ascii="幼圆" w:hAnsi="幼圆" w:eastAsia="幼圆" w:cs="幼圆"/>
                <w:b/>
                <w:sz w:val="24"/>
                <w:szCs w:val="24"/>
              </w:rPr>
            </w:pPr>
          </w:p>
        </w:tc>
      </w:tr>
    </w:tbl>
    <w:p>
      <w:pPr>
        <w:spacing w:line="520" w:lineRule="exact"/>
        <w:ind w:firstLine="600" w:firstLineChars="200"/>
        <w:rPr>
          <w:rFonts w:ascii="黑体" w:hAnsi="黑体" w:eastAsia="黑体" w:cs="黑体"/>
          <w:sz w:val="30"/>
          <w:szCs w:val="30"/>
        </w:rPr>
      </w:pPr>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第五节  支撑现代生物医药产业</w:t>
      </w:r>
      <w:bookmarkEnd w:id="78"/>
      <w:bookmarkEnd w:id="79"/>
      <w:r>
        <w:rPr>
          <w:rFonts w:hint="eastAsia" w:ascii="黑体" w:hAnsi="黑体" w:eastAsia="黑体" w:cs="黑体"/>
          <w:sz w:val="30"/>
          <w:szCs w:val="30"/>
        </w:rPr>
        <w:t>集群发展</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提升中药（蒙药）技术水平。</w:t>
      </w:r>
      <w:r>
        <w:rPr>
          <w:rFonts w:hint="eastAsia" w:asciiTheme="minorEastAsia" w:hAnsiTheme="minorEastAsia" w:cstheme="minorEastAsia"/>
          <w:sz w:val="28"/>
          <w:szCs w:val="28"/>
        </w:rPr>
        <w:t>支持甘草、肉苁蓉、枸杞、黄芪、红花、苦豆子等特色</w:t>
      </w:r>
      <w:r>
        <w:rPr>
          <w:rFonts w:hint="eastAsia" w:asciiTheme="minorEastAsia" w:hAnsiTheme="minorEastAsia" w:cstheme="minorEastAsia"/>
          <w:bCs/>
          <w:sz w:val="28"/>
          <w:szCs w:val="28"/>
        </w:rPr>
        <w:t>中药（蒙药）材</w:t>
      </w:r>
      <w:r>
        <w:rPr>
          <w:rFonts w:hint="eastAsia" w:asciiTheme="minorEastAsia" w:hAnsiTheme="minorEastAsia" w:cstheme="minorEastAsia"/>
          <w:sz w:val="28"/>
          <w:szCs w:val="28"/>
        </w:rPr>
        <w:t>种植基地建设，提高药用资源供给和储备水平。支持开展</w:t>
      </w:r>
      <w:r>
        <w:rPr>
          <w:rFonts w:hint="eastAsia" w:asciiTheme="minorEastAsia" w:hAnsiTheme="minorEastAsia" w:cstheme="minorEastAsia"/>
          <w:bCs/>
          <w:sz w:val="28"/>
          <w:szCs w:val="28"/>
        </w:rPr>
        <w:t>中药（蒙药）</w:t>
      </w:r>
      <w:r>
        <w:rPr>
          <w:rFonts w:hint="eastAsia" w:asciiTheme="minorEastAsia" w:hAnsiTheme="minorEastAsia" w:cstheme="minorEastAsia"/>
          <w:sz w:val="28"/>
          <w:szCs w:val="28"/>
        </w:rPr>
        <w:t>传统炮制和制剂方法整理研究，培育特色</w:t>
      </w:r>
      <w:r>
        <w:rPr>
          <w:rFonts w:hint="eastAsia" w:asciiTheme="minorEastAsia" w:hAnsiTheme="minorEastAsia" w:cstheme="minorEastAsia"/>
          <w:bCs/>
          <w:sz w:val="28"/>
          <w:szCs w:val="28"/>
        </w:rPr>
        <w:t>中药（蒙药）</w:t>
      </w:r>
      <w:r>
        <w:rPr>
          <w:rFonts w:hint="eastAsia" w:asciiTheme="minorEastAsia" w:hAnsiTheme="minorEastAsia" w:cstheme="minorEastAsia"/>
          <w:sz w:val="28"/>
          <w:szCs w:val="28"/>
        </w:rPr>
        <w:t>生物制药产业，支持开展</w:t>
      </w:r>
      <w:r>
        <w:rPr>
          <w:rFonts w:hint="eastAsia" w:asciiTheme="minorEastAsia" w:hAnsiTheme="minorEastAsia" w:cstheme="minorEastAsia"/>
          <w:bCs/>
          <w:sz w:val="28"/>
          <w:szCs w:val="28"/>
        </w:rPr>
        <w:t>中药（蒙药）</w:t>
      </w:r>
      <w:r>
        <w:rPr>
          <w:rFonts w:hint="eastAsia" w:asciiTheme="minorEastAsia" w:hAnsiTheme="minorEastAsia" w:cstheme="minorEastAsia"/>
          <w:sz w:val="28"/>
          <w:szCs w:val="28"/>
        </w:rPr>
        <w:t>中天然活性产物提取、分离筛选方法研究，发展</w:t>
      </w:r>
      <w:r>
        <w:rPr>
          <w:rFonts w:hint="eastAsia" w:asciiTheme="minorEastAsia" w:hAnsiTheme="minorEastAsia" w:cstheme="minorEastAsia"/>
          <w:bCs/>
          <w:sz w:val="28"/>
          <w:szCs w:val="28"/>
        </w:rPr>
        <w:t>中药（蒙药）</w:t>
      </w:r>
      <w:r>
        <w:rPr>
          <w:rFonts w:hint="eastAsia" w:asciiTheme="minorEastAsia" w:hAnsiTheme="minorEastAsia" w:cstheme="minorEastAsia"/>
          <w:sz w:val="28"/>
          <w:szCs w:val="28"/>
        </w:rPr>
        <w:t>成分规模化提取分离技术。</w:t>
      </w:r>
    </w:p>
    <w:p>
      <w:pPr>
        <w:spacing w:afterLines="50"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支持生物药产品创新。</w:t>
      </w:r>
      <w:r>
        <w:rPr>
          <w:rFonts w:hint="eastAsia" w:asciiTheme="minorEastAsia" w:hAnsiTheme="minorEastAsia" w:cstheme="minorEastAsia"/>
          <w:sz w:val="28"/>
          <w:szCs w:val="28"/>
        </w:rPr>
        <w:t>鼓励相关企业开发生物化学合成药、诊断用各种酶类试剂与生物活性肽等系列产品，突破</w:t>
      </w:r>
      <w:r>
        <w:rPr>
          <w:rFonts w:hint="eastAsia" w:asciiTheme="minorEastAsia" w:hAnsiTheme="minorEastAsia" w:cstheme="minorEastAsia"/>
          <w:bCs/>
          <w:sz w:val="28"/>
          <w:szCs w:val="28"/>
        </w:rPr>
        <w:t>中药（蒙药）</w:t>
      </w:r>
      <w:r>
        <w:rPr>
          <w:rFonts w:hint="eastAsia" w:asciiTheme="minorEastAsia" w:hAnsiTheme="minorEastAsia" w:cstheme="minorEastAsia"/>
          <w:sz w:val="28"/>
          <w:szCs w:val="28"/>
        </w:rPr>
        <w:t>饮片加工技术，中药提取、配方颗粒生产技术。支持</w:t>
      </w:r>
      <w:r>
        <w:rPr>
          <w:rFonts w:hint="eastAsia" w:asciiTheme="minorEastAsia" w:hAnsiTheme="minorEastAsia" w:cstheme="minorEastAsia"/>
          <w:bCs/>
          <w:sz w:val="28"/>
          <w:szCs w:val="28"/>
        </w:rPr>
        <w:t>中药（蒙药）</w:t>
      </w:r>
      <w:r>
        <w:rPr>
          <w:rFonts w:hint="eastAsia" w:asciiTheme="minorEastAsia" w:hAnsiTheme="minorEastAsia" w:cstheme="minorEastAsia"/>
          <w:sz w:val="28"/>
          <w:szCs w:val="28"/>
        </w:rPr>
        <w:t>产业创新研究机构开展以肉苁蓉、甘草为核心组方的</w:t>
      </w:r>
      <w:r>
        <w:rPr>
          <w:rFonts w:hint="eastAsia" w:asciiTheme="minorEastAsia" w:hAnsiTheme="minorEastAsia" w:cstheme="minorEastAsia"/>
          <w:bCs/>
          <w:sz w:val="28"/>
          <w:szCs w:val="28"/>
        </w:rPr>
        <w:t>中药（蒙药）</w:t>
      </w:r>
      <w:r>
        <w:rPr>
          <w:rFonts w:hint="eastAsia" w:asciiTheme="minorEastAsia" w:hAnsiTheme="minorEastAsia" w:cstheme="minorEastAsia"/>
          <w:sz w:val="28"/>
          <w:szCs w:val="28"/>
        </w:rPr>
        <w:t>创新研究。</w:t>
      </w:r>
    </w:p>
    <w:p>
      <w:pPr>
        <w:pStyle w:val="2"/>
      </w:pPr>
      <w:bookmarkStart w:id="80" w:name="_Toc83540964"/>
      <w:bookmarkStart w:id="81" w:name="_Toc8260"/>
    </w:p>
    <w:p/>
    <w:p>
      <w:pPr>
        <w:spacing w:line="520" w:lineRule="exact"/>
        <w:jc w:val="center"/>
        <w:rPr>
          <w:rFonts w:ascii="黑体" w:hAnsi="黑体" w:eastAsia="黑体" w:cs="黑体"/>
          <w:sz w:val="36"/>
          <w:szCs w:val="36"/>
        </w:rPr>
      </w:pPr>
      <w:r>
        <w:rPr>
          <w:rFonts w:hint="eastAsia" w:ascii="黑体" w:hAnsi="黑体" w:eastAsia="黑体" w:cs="黑体"/>
          <w:sz w:val="36"/>
          <w:szCs w:val="36"/>
        </w:rPr>
        <w:t>第五篇  支撑生态环境改善，筑牢生态安全屏障</w:t>
      </w:r>
      <w:bookmarkEnd w:id="80"/>
      <w:bookmarkEnd w:id="81"/>
    </w:p>
    <w:p>
      <w:pPr>
        <w:spacing w:line="520" w:lineRule="exact"/>
        <w:rPr>
          <w:rFonts w:asciiTheme="minorEastAsia" w:hAnsiTheme="minorEastAsia" w:cstheme="minorEastAsia"/>
          <w:sz w:val="28"/>
          <w:szCs w:val="28"/>
        </w:rPr>
      </w:pP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坚持绿水青山就是金山银山理念，突出科技创新在山水林田湖草沙系统治理中的支撑作用，通过科技创新提高资源与能源利用效率，基本满足生态退化和环境污染治理的技术支撑。</w:t>
      </w:r>
    </w:p>
    <w:p>
      <w:pPr>
        <w:spacing w:line="520" w:lineRule="exact"/>
        <w:ind w:firstLine="600" w:firstLineChars="200"/>
        <w:rPr>
          <w:rFonts w:ascii="黑体" w:hAnsi="黑体" w:eastAsia="黑体" w:cs="黑体"/>
          <w:sz w:val="30"/>
          <w:szCs w:val="30"/>
        </w:rPr>
      </w:pPr>
    </w:p>
    <w:p>
      <w:pPr>
        <w:spacing w:line="520" w:lineRule="exact"/>
        <w:jc w:val="center"/>
        <w:rPr>
          <w:rFonts w:ascii="黑体" w:hAnsi="黑体" w:eastAsia="黑体" w:cs="黑体"/>
          <w:sz w:val="32"/>
          <w:szCs w:val="32"/>
        </w:rPr>
      </w:pPr>
      <w:bookmarkStart w:id="82" w:name="_Toc12975"/>
      <w:bookmarkStart w:id="83" w:name="_Toc83540965"/>
      <w:r>
        <w:rPr>
          <w:rFonts w:hint="eastAsia" w:ascii="黑体" w:hAnsi="黑体" w:eastAsia="黑体" w:cs="黑体"/>
          <w:sz w:val="32"/>
          <w:szCs w:val="32"/>
        </w:rPr>
        <w:t>第九章  构建流域综合治理技术体系</w:t>
      </w:r>
      <w:bookmarkEnd w:id="82"/>
      <w:bookmarkEnd w:id="83"/>
    </w:p>
    <w:p>
      <w:pPr>
        <w:spacing w:line="520" w:lineRule="exact"/>
        <w:ind w:firstLine="600" w:firstLineChars="200"/>
        <w:rPr>
          <w:rFonts w:ascii="黑体" w:hAnsi="黑体" w:eastAsia="黑体" w:cs="黑体"/>
          <w:sz w:val="30"/>
          <w:szCs w:val="30"/>
        </w:rPr>
      </w:pPr>
    </w:p>
    <w:p>
      <w:pPr>
        <w:spacing w:line="520" w:lineRule="exact"/>
        <w:ind w:firstLine="600" w:firstLineChars="200"/>
        <w:rPr>
          <w:rFonts w:ascii="黑体" w:hAnsi="黑体" w:eastAsia="黑体" w:cs="黑体"/>
          <w:sz w:val="30"/>
          <w:szCs w:val="30"/>
        </w:rPr>
      </w:pPr>
      <w:bookmarkStart w:id="84" w:name="_Toc10025"/>
      <w:bookmarkStart w:id="85" w:name="_Toc83540966"/>
      <w:r>
        <w:rPr>
          <w:rFonts w:hint="eastAsia" w:ascii="黑体" w:hAnsi="黑体" w:eastAsia="黑体" w:cs="黑体"/>
          <w:sz w:val="30"/>
          <w:szCs w:val="30"/>
        </w:rPr>
        <w:t>第一节  乌梁素海生态环境综合治理</w:t>
      </w:r>
      <w:bookmarkEnd w:id="84"/>
      <w:bookmarkEnd w:id="85"/>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湖区内源治理。</w:t>
      </w:r>
      <w:r>
        <w:rPr>
          <w:rFonts w:hint="eastAsia" w:asciiTheme="minorEastAsia" w:hAnsiTheme="minorEastAsia" w:cstheme="minorEastAsia"/>
          <w:sz w:val="28"/>
          <w:szCs w:val="28"/>
        </w:rPr>
        <w:t>开展乌梁素海湖体水生态治理和保护修复技术研究，提高整体水质优Ⅴ类及以上标准。开展乌梁素海生态保护与高质量发展技术研究与集成示范，改善水中微生物结构比例。建立湖泊流域及水体环境监测大数据平台，提升环境在线监测设施技术水平。</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流域综合治理</w:t>
      </w:r>
      <w:r>
        <w:rPr>
          <w:rFonts w:hint="eastAsia" w:asciiTheme="minorEastAsia" w:hAnsiTheme="minorEastAsia" w:cstheme="minorEastAsia"/>
          <w:sz w:val="28"/>
          <w:szCs w:val="28"/>
        </w:rPr>
        <w:t>。开展乌梁素海流域山水林田湖草综合治理技术集成示范，建立防治面源污染的控水、控肥、控药、控膜技术模式。重视流域水文过程及生态效应研究。</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周边环境整治。</w:t>
      </w:r>
      <w:r>
        <w:rPr>
          <w:rFonts w:hint="eastAsia" w:asciiTheme="minorEastAsia" w:hAnsiTheme="minorEastAsia" w:cstheme="minorEastAsia"/>
          <w:sz w:val="28"/>
          <w:szCs w:val="28"/>
        </w:rPr>
        <w:t>加强乌梁素海流域湿地生态系统及关键湿地物种栖息地保护技术研究，维护湿地生态系统结构与功能多样性。开展湿地生态修复研究，建立黄河流域生态安全技术保障体系。</w:t>
      </w:r>
    </w:p>
    <w:p>
      <w:pPr>
        <w:pStyle w:val="5"/>
      </w:pPr>
    </w:p>
    <w:tbl>
      <w:tblPr>
        <w:tblStyle w:val="14"/>
        <w:tblpPr w:leftFromText="180" w:rightFromText="180" w:vertAnchor="text" w:horzAnchor="page" w:tblpX="1811" w:tblpY="3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22" w:type="dxa"/>
          </w:tcPr>
          <w:p>
            <w:pPr>
              <w:spacing w:beforeLines="50" w:afterLines="50" w:line="520" w:lineRule="exact"/>
              <w:ind w:left="210" w:leftChars="100" w:right="210" w:rightChars="100"/>
              <w:jc w:val="center"/>
              <w:rPr>
                <w:rFonts w:ascii="幼圆" w:eastAsia="幼圆"/>
                <w:b/>
                <w:sz w:val="24"/>
                <w:szCs w:val="24"/>
              </w:rPr>
            </w:pPr>
            <w:r>
              <w:rPr>
                <w:rFonts w:hint="eastAsia" w:ascii="幼圆" w:eastAsia="幼圆"/>
                <w:b/>
                <w:sz w:val="24"/>
                <w:szCs w:val="24"/>
              </w:rPr>
              <w:t>专栏1</w:t>
            </w:r>
            <w:r>
              <w:rPr>
                <w:rFonts w:hint="eastAsia" w:ascii="幼圆" w:eastAsia="幼圆"/>
                <w:b/>
                <w:sz w:val="24"/>
                <w:szCs w:val="24"/>
                <w:lang w:val="en-US" w:eastAsia="zh-CN"/>
              </w:rPr>
              <w:t>3</w:t>
            </w:r>
            <w:r>
              <w:rPr>
                <w:rFonts w:hint="eastAsia" w:ascii="幼圆" w:eastAsia="幼圆"/>
                <w:b/>
                <w:sz w:val="24"/>
                <w:szCs w:val="24"/>
              </w:rPr>
              <w:t xml:space="preserve">  乌梁素海流域生态综合治理技术集成重点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1、乌梁素海流域农业—水文—环境—生态多目标协同的水资源高效利用协同调控关键技术。</w:t>
            </w:r>
            <w:r>
              <w:rPr>
                <w:rFonts w:hint="eastAsia" w:asciiTheme="minorEastAsia" w:hAnsiTheme="minorEastAsia" w:cstheme="minorEastAsia"/>
                <w:sz w:val="24"/>
                <w:szCs w:val="24"/>
              </w:rPr>
              <w:t>围绕流域农业与生态环境用水矛盾突出、面源污染严重问题，研究流域水转化多要素相互作用机理与过程耦合规律，提出水资源高效利用模式与系统解决方案。</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2、乌梁素海富营养化综合治理关键技术。</w:t>
            </w:r>
            <w:r>
              <w:rPr>
                <w:rFonts w:hint="eastAsia" w:asciiTheme="minorEastAsia" w:hAnsiTheme="minorEastAsia" w:cstheme="minorEastAsia"/>
                <w:sz w:val="24"/>
                <w:szCs w:val="24"/>
              </w:rPr>
              <w:t>揭示乌梁素海水生态演变规律，评估引黄济海效用及乌梁素海生态系统健康状况，加快湖区水体内循环技术措施，针对富营养化的生态修复技术与藻华预警模型，连通乌梁素海灌渠优化调整研究。</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3、乌梁素海水环境保护研究</w:t>
            </w:r>
            <w:r>
              <w:rPr>
                <w:rFonts w:hint="eastAsia" w:asciiTheme="minorEastAsia" w:hAnsiTheme="minorEastAsia" w:cstheme="minorEastAsia"/>
                <w:sz w:val="24"/>
                <w:szCs w:val="24"/>
              </w:rPr>
              <w:t>。防控面源污染“四控”技术研究，湿地生态自我修复能力及措施研究，开展水环境生态保护示范区建设。</w:t>
            </w:r>
          </w:p>
          <w:p>
            <w:pPr>
              <w:spacing w:line="480" w:lineRule="exact"/>
              <w:ind w:left="218" w:leftChars="104" w:right="210" w:rightChars="100" w:firstLine="481" w:firstLineChars="200"/>
              <w:rPr>
                <w:rFonts w:ascii="幼圆" w:eastAsia="幼圆"/>
                <w:b/>
                <w:sz w:val="24"/>
                <w:szCs w:val="24"/>
              </w:rPr>
            </w:pPr>
            <w:r>
              <w:rPr>
                <w:rFonts w:hint="eastAsia" w:asciiTheme="minorEastAsia" w:hAnsiTheme="minorEastAsia" w:cstheme="minorEastAsia"/>
                <w:b/>
                <w:sz w:val="24"/>
                <w:szCs w:val="24"/>
              </w:rPr>
              <w:t>4、乌梁素海流域河湖体系问题解析及高效治理技术应用示范。</w:t>
            </w:r>
            <w:r>
              <w:rPr>
                <w:rFonts w:hint="eastAsia" w:asciiTheme="minorEastAsia" w:hAnsiTheme="minorEastAsia" w:cstheme="minorEastAsia"/>
                <w:sz w:val="24"/>
                <w:szCs w:val="24"/>
              </w:rPr>
              <w:t>通过遥感解译流域生态变化规律，水环境治理技术及削减农业面源氮磷污染技术应用，结合气候变化和黄河饮用水机制对乌梁素海流域进行水资源评估，制定水文生态指标体系。</w:t>
            </w:r>
          </w:p>
        </w:tc>
      </w:tr>
    </w:tbl>
    <w:p>
      <w:pPr>
        <w:spacing w:line="520" w:lineRule="exact"/>
        <w:rPr>
          <w:rFonts w:ascii="黑体" w:hAnsi="黑体" w:eastAsia="黑体" w:cs="黑体"/>
          <w:sz w:val="30"/>
          <w:szCs w:val="30"/>
        </w:rPr>
      </w:pPr>
      <w:bookmarkStart w:id="86" w:name="_Toc83540967"/>
      <w:bookmarkStart w:id="87" w:name="_Toc17976"/>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河套灌区生态保护</w:t>
      </w:r>
      <w:bookmarkEnd w:id="86"/>
      <w:bookmarkEnd w:id="87"/>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农田生态系统修复。</w:t>
      </w:r>
      <w:r>
        <w:rPr>
          <w:rFonts w:hint="eastAsia" w:asciiTheme="minorEastAsia" w:hAnsiTheme="minorEastAsia" w:cstheme="minorEastAsia"/>
          <w:sz w:val="28"/>
          <w:szCs w:val="28"/>
        </w:rPr>
        <w:t>重视河套灌区农田可持续利用技术示范和退化、污染、损毁农田改良和修复技术研究。研究灌区农业用水与生态用水关系及灌区节水条件下农作物、树木、牧草的生态环境，建立综合治理体系。开展困难立地造林及植被恢复、农田保护林体系构建技术研究应用。开展灌区农业面源污染防控技术研究，形成农业面源污染监测—模拟—预警—控制技术体系。</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盐碱化土地整治</w:t>
      </w:r>
      <w:r>
        <w:rPr>
          <w:rFonts w:hint="eastAsia" w:asciiTheme="minorEastAsia" w:hAnsiTheme="minorEastAsia" w:cstheme="minorEastAsia"/>
          <w:sz w:val="28"/>
          <w:szCs w:val="28"/>
        </w:rPr>
        <w:t>。重视河套灌区水盐调控技术研究应用，开展灌区土壤水盐运移规律及改良机制互作机理研究，建立盐碱地综合改良技术体系与模式，研究开发耐盐品种配套栽培技术，提升盐碱地治理利用技术水平。</w:t>
      </w:r>
    </w:p>
    <w:p>
      <w:pPr>
        <w:spacing w:line="520" w:lineRule="exact"/>
        <w:ind w:firstLine="560" w:firstLineChars="200"/>
        <w:rPr>
          <w:rFonts w:asciiTheme="minorEastAsia" w:hAnsiTheme="minorEastAsia" w:cstheme="minorEastAsia"/>
          <w:sz w:val="28"/>
          <w:szCs w:val="28"/>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Lines="50" w:afterLines="50" w:line="520" w:lineRule="exact"/>
              <w:ind w:left="210" w:leftChars="100" w:right="210" w:rightChars="100"/>
              <w:jc w:val="center"/>
              <w:rPr>
                <w:rFonts w:ascii="幼圆" w:eastAsia="幼圆"/>
                <w:b/>
                <w:sz w:val="24"/>
                <w:szCs w:val="24"/>
              </w:rPr>
            </w:pPr>
            <w:r>
              <w:rPr>
                <w:rFonts w:hint="eastAsia" w:ascii="幼圆" w:eastAsia="幼圆"/>
                <w:b/>
                <w:sz w:val="24"/>
                <w:szCs w:val="24"/>
              </w:rPr>
              <w:t>专栏1</w:t>
            </w:r>
            <w:r>
              <w:rPr>
                <w:rFonts w:hint="eastAsia" w:ascii="幼圆" w:eastAsia="幼圆"/>
                <w:b/>
                <w:sz w:val="24"/>
                <w:szCs w:val="24"/>
                <w:lang w:val="en-US" w:eastAsia="zh-CN"/>
              </w:rPr>
              <w:t>4</w:t>
            </w:r>
            <w:r>
              <w:rPr>
                <w:rFonts w:hint="eastAsia" w:ascii="幼圆" w:eastAsia="幼圆"/>
                <w:b/>
                <w:sz w:val="24"/>
                <w:szCs w:val="24"/>
              </w:rPr>
              <w:t xml:space="preserve">  河套灌区生态环境综合治理关键技术集成重点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522" w:type="dxa"/>
          </w:tcPr>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1、河套灌区农业面源污染防控技术体系集成与示范。</w:t>
            </w:r>
            <w:r>
              <w:rPr>
                <w:rFonts w:hint="eastAsia" w:asciiTheme="minorEastAsia" w:hAnsiTheme="minorEastAsia" w:cstheme="minorEastAsia"/>
                <w:sz w:val="24"/>
                <w:szCs w:val="24"/>
              </w:rPr>
              <w:t>建立灌区农业面源污染模型及风险评估系统，形成农业面源污染监测—模拟—预警—控制技术体系；研究面源污染物排放特征，明确灌区面源排放热点区域，制定灌区排水及农田地下水环境监测方案。</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2、智慧灌区建设关键技术与供排水模式研究。</w:t>
            </w:r>
            <w:r>
              <w:rPr>
                <w:rFonts w:hint="eastAsia" w:asciiTheme="minorEastAsia" w:hAnsiTheme="minorEastAsia" w:cstheme="minorEastAsia"/>
                <w:sz w:val="24"/>
                <w:szCs w:val="24"/>
              </w:rPr>
              <w:t>灌区农田立体监测技术研究，渠系精准量测和智能量测技术与装备研究，灌区农业高效用水与生态环境健康协同的水资源优化配置与智慧调度，以适时适量供水为目标的种植模式和供水模式研究。</w:t>
            </w:r>
          </w:p>
          <w:p>
            <w:pPr>
              <w:spacing w:line="480" w:lineRule="exact"/>
              <w:ind w:left="210" w:leftChars="100" w:right="210" w:rightChars="100" w:firstLine="481" w:firstLineChars="200"/>
              <w:rPr>
                <w:rFonts w:ascii="幼圆" w:eastAsia="幼圆"/>
                <w:b/>
                <w:sz w:val="24"/>
                <w:szCs w:val="24"/>
              </w:rPr>
            </w:pPr>
            <w:r>
              <w:rPr>
                <w:rFonts w:hint="eastAsia" w:asciiTheme="minorEastAsia" w:hAnsiTheme="minorEastAsia" w:cstheme="minorEastAsia"/>
                <w:b/>
                <w:sz w:val="24"/>
                <w:szCs w:val="24"/>
                <w:lang w:val="en-US" w:eastAsia="zh-CN"/>
              </w:rPr>
              <w:t>3</w:t>
            </w:r>
            <w:r>
              <w:rPr>
                <w:rFonts w:hint="eastAsia" w:asciiTheme="minorEastAsia" w:hAnsiTheme="minorEastAsia" w:cstheme="minorEastAsia"/>
                <w:b/>
                <w:sz w:val="24"/>
                <w:szCs w:val="24"/>
              </w:rPr>
              <w:t>、河套灌区绿色种养改良盐碱地及智能节水集成技术。</w:t>
            </w:r>
            <w:r>
              <w:rPr>
                <w:rFonts w:hint="eastAsia" w:asciiTheme="minorEastAsia" w:hAnsiTheme="minorEastAsia" w:cstheme="minorEastAsia"/>
                <w:sz w:val="24"/>
                <w:szCs w:val="24"/>
              </w:rPr>
              <w:t>耐盐碱牧草新品种与节水控盐高效栽培技术，农牧业有机废弃物绿色资源化利用提升土壤肥力降低盐碱地等级。</w:t>
            </w:r>
          </w:p>
        </w:tc>
      </w:tr>
    </w:tbl>
    <w:p>
      <w:pPr>
        <w:spacing w:line="520" w:lineRule="exact"/>
        <w:jc w:val="center"/>
        <w:rPr>
          <w:rFonts w:ascii="黑体" w:hAnsi="黑体" w:eastAsia="黑体" w:cs="黑体"/>
          <w:sz w:val="32"/>
          <w:szCs w:val="32"/>
        </w:rPr>
      </w:pPr>
      <w:bookmarkStart w:id="88" w:name="_Toc83540968"/>
      <w:bookmarkStart w:id="89" w:name="_Toc13449"/>
    </w:p>
    <w:p>
      <w:pPr>
        <w:spacing w:line="520" w:lineRule="exact"/>
        <w:jc w:val="center"/>
        <w:rPr>
          <w:rFonts w:ascii="黑体" w:hAnsi="黑体" w:eastAsia="黑体" w:cs="黑体"/>
          <w:sz w:val="32"/>
          <w:szCs w:val="32"/>
        </w:rPr>
      </w:pPr>
      <w:r>
        <w:rPr>
          <w:rFonts w:hint="eastAsia" w:ascii="黑体" w:hAnsi="黑体" w:eastAsia="黑体" w:cs="黑体"/>
          <w:sz w:val="32"/>
          <w:szCs w:val="32"/>
        </w:rPr>
        <w:t>第十章  提升生态保护修复技术支撑</w:t>
      </w:r>
      <w:bookmarkEnd w:id="88"/>
      <w:bookmarkEnd w:id="89"/>
    </w:p>
    <w:p>
      <w:pPr>
        <w:spacing w:line="520" w:lineRule="exact"/>
        <w:rPr>
          <w:rFonts w:ascii="黑体" w:hAnsi="黑体" w:eastAsia="黑体" w:cs="黑体"/>
          <w:sz w:val="30"/>
          <w:szCs w:val="30"/>
        </w:rPr>
      </w:pPr>
    </w:p>
    <w:p>
      <w:pPr>
        <w:spacing w:line="520" w:lineRule="exact"/>
        <w:ind w:firstLine="600" w:firstLineChars="200"/>
        <w:rPr>
          <w:rFonts w:ascii="黑体" w:hAnsi="黑体" w:eastAsia="黑体" w:cs="黑体"/>
          <w:sz w:val="30"/>
          <w:szCs w:val="30"/>
        </w:rPr>
      </w:pPr>
      <w:bookmarkStart w:id="90" w:name="_Toc83540969"/>
      <w:bookmarkStart w:id="91" w:name="_Toc1101"/>
      <w:r>
        <w:rPr>
          <w:rFonts w:hint="eastAsia" w:ascii="黑体" w:hAnsi="黑体" w:eastAsia="黑体" w:cs="黑体"/>
          <w:sz w:val="30"/>
          <w:szCs w:val="30"/>
        </w:rPr>
        <w:t>第一节  水环境保护与综合节水技术</w:t>
      </w:r>
      <w:bookmarkEnd w:id="90"/>
      <w:bookmarkEnd w:id="91"/>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改善水生态环境。</w:t>
      </w:r>
      <w:r>
        <w:rPr>
          <w:rFonts w:hint="eastAsia" w:asciiTheme="minorEastAsia" w:hAnsiTheme="minorEastAsia" w:cstheme="minorEastAsia"/>
          <w:sz w:val="28"/>
          <w:szCs w:val="28"/>
        </w:rPr>
        <w:t>面向水环境保护、水资源优化配置等科技问题，开展不同类型区域水资源综合配套和可持续利用技术研究。开展农村水系综合整治、河套灌区排干沟水综合治理、城镇污水安全高效低成本净化技术、劣质水开发利用等技术研究。</w:t>
      </w:r>
    </w:p>
    <w:p>
      <w:pPr>
        <w:spacing w:line="520" w:lineRule="exact"/>
        <w:ind w:firstLine="562" w:firstLineChars="200"/>
        <w:rPr>
          <w:rFonts w:hint="eastAsia" w:ascii="仿宋_GB2312" w:eastAsia="仿宋_GB2312"/>
          <w:sz w:val="28"/>
          <w:szCs w:val="28"/>
        </w:rPr>
      </w:pPr>
      <w:r>
        <w:rPr>
          <w:rFonts w:hint="eastAsia" w:asciiTheme="minorEastAsia" w:hAnsiTheme="minorEastAsia" w:cstheme="minorEastAsia"/>
          <w:b/>
          <w:sz w:val="28"/>
          <w:szCs w:val="28"/>
        </w:rPr>
        <w:t>水资源高效利用技术。</w:t>
      </w:r>
      <w:r>
        <w:rPr>
          <w:rFonts w:hint="eastAsia" w:asciiTheme="minorEastAsia" w:hAnsiTheme="minorEastAsia" w:cstheme="minorEastAsia"/>
          <w:sz w:val="28"/>
          <w:szCs w:val="28"/>
        </w:rPr>
        <w:t>开展不同类型综合节水技术集成示范，因地制宜研发和改进适宜井灌区、井黄双灌区的以智能滴灌水肥一体化技术为主的高效节水灌溉技术。开展黄河流域水资源量及水资源需求分析与河套灌区引黄、乌梁素海补水、河湖生态用水、工业及生活用水优化配置研究。开展牧区水资源综合开发利用研究</w:t>
      </w:r>
      <w:r>
        <w:rPr>
          <w:rFonts w:hint="eastAsia" w:ascii="仿宋_GB2312" w:eastAsia="仿宋_GB2312"/>
          <w:sz w:val="28"/>
          <w:szCs w:val="28"/>
        </w:rPr>
        <w:t>。</w:t>
      </w:r>
    </w:p>
    <w:p>
      <w:pPr>
        <w:pStyle w:val="2"/>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Lines="50" w:afterLines="50" w:line="520" w:lineRule="exact"/>
              <w:ind w:left="210" w:leftChars="100" w:right="210" w:rightChars="100"/>
              <w:jc w:val="center"/>
              <w:rPr>
                <w:rFonts w:ascii="幼圆" w:eastAsia="幼圆"/>
                <w:b/>
                <w:sz w:val="24"/>
                <w:szCs w:val="24"/>
              </w:rPr>
            </w:pPr>
            <w:bookmarkStart w:id="92" w:name="_Toc83540970"/>
            <w:r>
              <w:rPr>
                <w:rFonts w:hint="eastAsia" w:ascii="幼圆" w:eastAsia="幼圆"/>
                <w:b/>
                <w:sz w:val="24"/>
                <w:szCs w:val="24"/>
              </w:rPr>
              <w:t>专栏1</w:t>
            </w:r>
            <w:r>
              <w:rPr>
                <w:rFonts w:hint="eastAsia" w:ascii="幼圆" w:eastAsia="幼圆"/>
                <w:b/>
                <w:sz w:val="24"/>
                <w:szCs w:val="24"/>
                <w:lang w:val="en-US" w:eastAsia="zh-CN"/>
              </w:rPr>
              <w:t>5</w:t>
            </w:r>
            <w:r>
              <w:rPr>
                <w:rFonts w:hint="eastAsia" w:ascii="幼圆" w:eastAsia="幼圆"/>
                <w:b/>
                <w:sz w:val="24"/>
                <w:szCs w:val="24"/>
              </w:rPr>
              <w:t xml:space="preserve">  水资源可持续利用与综合节水重点技术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6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1、水资源合理配置与优化调度研究。</w:t>
            </w:r>
            <w:r>
              <w:rPr>
                <w:rFonts w:hint="eastAsia" w:asciiTheme="minorEastAsia" w:hAnsiTheme="minorEastAsia" w:cstheme="minorEastAsia"/>
                <w:sz w:val="24"/>
                <w:szCs w:val="24"/>
              </w:rPr>
              <w:t>根据河套灌区在强约束条件下的引黄水量，定量评价黄河水、地下水和湖泊水的合理配置与调度，探讨引黄地面灌溉和引黄滴灌、地下水滴灌及设施农业等高效节水灌溉面积的优化配置，提高水资源综合利用效益。</w:t>
            </w:r>
          </w:p>
          <w:p>
            <w:pPr>
              <w:spacing w:line="460" w:lineRule="exact"/>
              <w:ind w:left="210" w:leftChars="100" w:right="210" w:rightChars="100" w:firstLine="457" w:firstLineChars="200"/>
              <w:rPr>
                <w:rFonts w:asciiTheme="minorEastAsia" w:hAnsiTheme="minorEastAsia" w:cstheme="minorEastAsia"/>
                <w:spacing w:val="-6"/>
                <w:sz w:val="24"/>
                <w:szCs w:val="24"/>
              </w:rPr>
            </w:pPr>
            <w:r>
              <w:rPr>
                <w:rFonts w:hint="eastAsia" w:asciiTheme="minorEastAsia" w:hAnsiTheme="minorEastAsia" w:cstheme="minorEastAsia"/>
                <w:b/>
                <w:spacing w:val="-6"/>
                <w:sz w:val="24"/>
                <w:szCs w:val="24"/>
              </w:rPr>
              <w:t>2、移动式黄河水—微碱水一体化处理技术集成示范。</w:t>
            </w:r>
            <w:r>
              <w:rPr>
                <w:rFonts w:hint="eastAsia" w:asciiTheme="minorEastAsia" w:hAnsiTheme="minorEastAsia" w:cstheme="minorEastAsia"/>
                <w:spacing w:val="-6"/>
                <w:sz w:val="24"/>
                <w:szCs w:val="24"/>
              </w:rPr>
              <w:t>研发不同处理规模的移动式黄河水滴灌泥沙处理设备、微咸水滴灌磁化处理技术，絮凝泥沙资源化利用技术，黄河水泥沙分离及微生物抗堵高效吸附剂筛选与专用产品研发。</w:t>
            </w:r>
          </w:p>
          <w:p>
            <w:pPr>
              <w:spacing w:line="46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3、河套灌区多水源滴灌技术设备集成与应用。</w:t>
            </w:r>
            <w:r>
              <w:rPr>
                <w:rFonts w:hint="eastAsia" w:asciiTheme="minorEastAsia" w:hAnsiTheme="minorEastAsia" w:cstheme="minorEastAsia"/>
                <w:sz w:val="24"/>
                <w:szCs w:val="24"/>
              </w:rPr>
              <w:t>开展基于灌区水资源分布特征的不同水源滴灌潜力研究，研发低成本过滤实用技术与设备，提出滴灌实用技术集成、推广与高效管理模式，研发大首部过滤器及移动式滴灌过滤设备。</w:t>
            </w:r>
          </w:p>
          <w:p>
            <w:pPr>
              <w:spacing w:line="460" w:lineRule="exact"/>
              <w:ind w:left="210" w:leftChars="100" w:right="210" w:rightChars="100" w:firstLine="481" w:firstLineChars="200"/>
              <w:rPr>
                <w:rFonts w:ascii="幼圆" w:eastAsia="幼圆"/>
                <w:b/>
                <w:sz w:val="24"/>
                <w:szCs w:val="24"/>
              </w:rPr>
            </w:pPr>
            <w:r>
              <w:rPr>
                <w:rFonts w:hint="eastAsia" w:asciiTheme="minorEastAsia" w:hAnsiTheme="minorEastAsia" w:cstheme="minorEastAsia"/>
                <w:b/>
                <w:sz w:val="24"/>
                <w:szCs w:val="24"/>
              </w:rPr>
              <w:t>4、河套灌区节水潜力与生态需水量研究。</w:t>
            </w:r>
            <w:r>
              <w:rPr>
                <w:rFonts w:hint="eastAsia" w:asciiTheme="minorEastAsia" w:hAnsiTheme="minorEastAsia" w:cstheme="minorEastAsia"/>
                <w:sz w:val="24"/>
                <w:szCs w:val="24"/>
              </w:rPr>
              <w:t>针对灌区节水阈值底线、生态安全极限地下水位、水资源承载能力等问题，研究生态需水量和适宜地下水位，评价灌区节水潜力和生态承载力，建立科学合理的农业用水调度系统。</w:t>
            </w:r>
          </w:p>
        </w:tc>
      </w:tr>
    </w:tbl>
    <w:p>
      <w:pPr>
        <w:spacing w:line="520" w:lineRule="exact"/>
        <w:ind w:firstLine="600" w:firstLineChars="200"/>
        <w:rPr>
          <w:rFonts w:ascii="黑体" w:hAnsi="黑体" w:eastAsia="黑体" w:cs="黑体"/>
          <w:sz w:val="30"/>
          <w:szCs w:val="30"/>
        </w:rPr>
      </w:pPr>
      <w:bookmarkStart w:id="93" w:name="_Toc3403"/>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林草退化生态系统恢复技术体系</w:t>
      </w:r>
      <w:bookmarkEnd w:id="92"/>
      <w:bookmarkEnd w:id="93"/>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森林资源保护与修复。</w:t>
      </w:r>
      <w:r>
        <w:rPr>
          <w:rFonts w:hint="eastAsia" w:asciiTheme="minorEastAsia" w:hAnsiTheme="minorEastAsia" w:cstheme="minorEastAsia"/>
          <w:sz w:val="28"/>
          <w:szCs w:val="28"/>
        </w:rPr>
        <w:t>以支撑天然林保护、退化防护林改造、京津风沙源治理等国家林业生态建设工程和我市黄河生态廊道建设、河套灌区农田防护林建设项目等工程攻坚为目标，开展盐碱地、密集流动沙丘等困难立地造林及植被恢复、防护林体系构建、天然林生产力提高、高效稳定农林复合等基础研究与试验示范，推广应用沙区、山区、山旱区抗旱造林系列技术。</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草原生态保护与修复。</w:t>
      </w:r>
      <w:r>
        <w:rPr>
          <w:rFonts w:hint="eastAsia" w:asciiTheme="minorEastAsia" w:hAnsiTheme="minorEastAsia" w:cstheme="minorEastAsia"/>
          <w:sz w:val="28"/>
          <w:szCs w:val="28"/>
        </w:rPr>
        <w:t>开展荒漠草原生态系统保护与利用规范、草畜平衡技术研究，重视不同水分条件下人工半人工草地建植技术应用，建立不同类型退化、沙化、盐碱化草地恢复机理及恢复改良技术体系。建设乌拉特草原生态监测站网，开展草原干旱指标选取及本地化应用。开展草原蝗灾、鼠害治理技术示范，提升草原有害生物综合防控能力。开展退化草原生态修复、资源利用与产业发展良性互动模式示范。重视草原生态自然恢复。</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森林质量精准提升。</w:t>
      </w:r>
      <w:r>
        <w:rPr>
          <w:rFonts w:hint="eastAsia" w:asciiTheme="minorEastAsia" w:hAnsiTheme="minorEastAsia" w:cstheme="minorEastAsia"/>
          <w:sz w:val="28"/>
          <w:szCs w:val="28"/>
        </w:rPr>
        <w:t>抓好乌拉特草原荒漠原生树种旱榆、河套柳、沙冬青、霸王等种质资源保护与利用，开展酸枣、河北杨、沙冬青、蒙古扁桃、胡杨、文冠果、小杂果等特色经济林良种选育、可持续经营与高效利用技术、灌木林资源高效培育和生态功能技术研究。提高生态公益林物种丰富度及生态功能持续维护，重视低产低效乔木林、经济林改造，近成熟林有序更新。开展巴彦淖尔市封育飞播区建设成效监测，提升封飞造林技术水平。</w:t>
      </w:r>
    </w:p>
    <w:p>
      <w:pPr>
        <w:spacing w:line="520" w:lineRule="exact"/>
        <w:ind w:firstLine="562" w:firstLineChars="200"/>
        <w:rPr>
          <w:rFonts w:ascii="仿宋_GB2312" w:eastAsia="仿宋_GB2312"/>
          <w:sz w:val="28"/>
          <w:szCs w:val="28"/>
        </w:rPr>
      </w:pPr>
      <w:r>
        <w:rPr>
          <w:rFonts w:hint="eastAsia" w:asciiTheme="minorEastAsia" w:hAnsiTheme="minorEastAsia" w:cstheme="minorEastAsia"/>
          <w:b/>
          <w:sz w:val="28"/>
          <w:szCs w:val="28"/>
        </w:rPr>
        <w:t>林草生态系统固碳减排。</w:t>
      </w:r>
      <w:r>
        <w:rPr>
          <w:rFonts w:hint="eastAsia" w:asciiTheme="minorEastAsia" w:hAnsiTheme="minorEastAsia" w:cstheme="minorEastAsia"/>
          <w:sz w:val="28"/>
          <w:szCs w:val="28"/>
        </w:rPr>
        <w:t>开展森林、草原生态系统生物和土壤固碳机理研究。针对不同类型农林生态系统领域，研究开发符合市场需求的固碳减排增汇关键技术、措施和标准，建立林草生态系统减排固碳技术示范基地。利用生态系统减排和固碳技术开发，发展相关产业。</w:t>
      </w:r>
    </w:p>
    <w:p>
      <w:pPr>
        <w:spacing w:line="520" w:lineRule="exact"/>
        <w:ind w:firstLine="560" w:firstLineChars="200"/>
        <w:rPr>
          <w:rFonts w:ascii="仿宋_GB2312" w:eastAsia="仿宋_GB2312"/>
          <w:sz w:val="28"/>
          <w:szCs w:val="28"/>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Lines="50" w:afterLines="50" w:line="520" w:lineRule="exact"/>
              <w:ind w:left="210" w:leftChars="100" w:right="210" w:rightChars="100"/>
              <w:jc w:val="center"/>
              <w:rPr>
                <w:rFonts w:ascii="幼圆" w:eastAsia="幼圆"/>
                <w:b/>
                <w:sz w:val="24"/>
                <w:szCs w:val="24"/>
              </w:rPr>
            </w:pPr>
            <w:r>
              <w:rPr>
                <w:rFonts w:hint="eastAsia" w:ascii="幼圆" w:eastAsia="幼圆"/>
                <w:b/>
                <w:sz w:val="24"/>
                <w:szCs w:val="24"/>
              </w:rPr>
              <w:t>专栏1</w:t>
            </w:r>
            <w:r>
              <w:rPr>
                <w:rFonts w:hint="eastAsia" w:ascii="幼圆" w:eastAsia="幼圆"/>
                <w:b/>
                <w:sz w:val="24"/>
                <w:szCs w:val="24"/>
                <w:lang w:val="en-US" w:eastAsia="zh-CN"/>
              </w:rPr>
              <w:t>6</w:t>
            </w:r>
            <w:r>
              <w:rPr>
                <w:rFonts w:hint="eastAsia" w:ascii="幼圆" w:eastAsia="幼圆"/>
                <w:b/>
                <w:sz w:val="24"/>
                <w:szCs w:val="24"/>
              </w:rPr>
              <w:t xml:space="preserve">  林草重点工程及生态建设工程重点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lang w:val="en-US" w:eastAsia="zh-CN"/>
              </w:rPr>
              <w:t>1</w:t>
            </w:r>
            <w:r>
              <w:rPr>
                <w:rFonts w:hint="eastAsia" w:asciiTheme="minorEastAsia" w:hAnsiTheme="minorEastAsia" w:cstheme="minorEastAsia"/>
                <w:b/>
                <w:sz w:val="24"/>
                <w:szCs w:val="24"/>
              </w:rPr>
              <w:t>、林草生态建设关键技术集成。</w:t>
            </w:r>
            <w:r>
              <w:rPr>
                <w:rFonts w:hint="eastAsia" w:asciiTheme="minorEastAsia" w:hAnsiTheme="minorEastAsia" w:cstheme="minorEastAsia"/>
                <w:sz w:val="24"/>
                <w:szCs w:val="24"/>
              </w:rPr>
              <w:t>困难立地条件下提高造林成活率研究，巴彦淖尔市乡土树种困难立地造林技术，河套地区农田防护林最优网格配置与更新营造技术，抗天牛新树种引进与培育，文冠果可持续经营与高效利用技术，乌拉特草原野生乡土优良草种繁育，沙冬青林木良种选育，细穗柽柳良种扩繁及盐碱地造林技术。</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lang w:val="en-US" w:eastAsia="zh-CN"/>
              </w:rPr>
              <w:t>2</w:t>
            </w:r>
            <w:r>
              <w:rPr>
                <w:rFonts w:hint="eastAsia" w:asciiTheme="minorEastAsia" w:hAnsiTheme="minorEastAsia" w:cstheme="minorEastAsia"/>
                <w:b/>
                <w:sz w:val="24"/>
                <w:szCs w:val="24"/>
              </w:rPr>
              <w:t>、有害生物防控技术。</w:t>
            </w:r>
            <w:r>
              <w:rPr>
                <w:rFonts w:hint="eastAsia" w:asciiTheme="minorEastAsia" w:hAnsiTheme="minorEastAsia" w:cstheme="minorEastAsia"/>
                <w:sz w:val="24"/>
                <w:szCs w:val="24"/>
              </w:rPr>
              <w:t>森林鼠害综合防治试验研究，光肩星天牛综合防治试验研究，低虫口密度下持续控灾与生物多样性安全保障，经济林生物灾害无公害防治、生态林有害生物生态遥控技术。</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lang w:val="en-US" w:eastAsia="zh-CN"/>
              </w:rPr>
              <w:t>3</w:t>
            </w:r>
            <w:r>
              <w:rPr>
                <w:rFonts w:hint="eastAsia" w:asciiTheme="minorEastAsia" w:hAnsiTheme="minorEastAsia" w:cstheme="minorEastAsia"/>
                <w:b/>
                <w:sz w:val="24"/>
                <w:szCs w:val="24"/>
              </w:rPr>
              <w:t>、河套经济林高质高效生产关键技术研发与示范。</w:t>
            </w:r>
            <w:r>
              <w:rPr>
                <w:rFonts w:hint="eastAsia" w:asciiTheme="minorEastAsia" w:hAnsiTheme="minorEastAsia" w:cstheme="minorEastAsia"/>
                <w:sz w:val="24"/>
                <w:szCs w:val="24"/>
              </w:rPr>
              <w:t>开展梨、苹果等主要经济林优良品种筛选，树形筛选及主要经济林主推树形和整形修剪技术，土壤肥力提升技术，营养诊断、配方施肥及肥水一体化轻简化管理技术。</w:t>
            </w:r>
          </w:p>
          <w:p>
            <w:pPr>
              <w:spacing w:line="480" w:lineRule="exact"/>
              <w:ind w:left="210" w:leftChars="100" w:right="210" w:rightChars="100" w:firstLine="481" w:firstLineChars="200"/>
              <w:rPr>
                <w:rFonts w:ascii="幼圆" w:eastAsia="幼圆"/>
                <w:b/>
                <w:sz w:val="24"/>
                <w:szCs w:val="24"/>
              </w:rPr>
            </w:pPr>
            <w:r>
              <w:rPr>
                <w:rFonts w:hint="eastAsia" w:asciiTheme="minorEastAsia" w:hAnsiTheme="minorEastAsia" w:cstheme="minorEastAsia"/>
                <w:b/>
                <w:sz w:val="24"/>
                <w:szCs w:val="24"/>
                <w:lang w:val="en-US" w:eastAsia="zh-CN"/>
              </w:rPr>
              <w:t>4</w:t>
            </w:r>
            <w:r>
              <w:rPr>
                <w:rFonts w:hint="eastAsia" w:asciiTheme="minorEastAsia" w:hAnsiTheme="minorEastAsia" w:cstheme="minorEastAsia"/>
                <w:b/>
                <w:sz w:val="24"/>
                <w:szCs w:val="24"/>
              </w:rPr>
              <w:t>、河</w:t>
            </w:r>
            <w:r>
              <w:rPr>
                <w:rFonts w:hint="eastAsia" w:asciiTheme="minorEastAsia" w:hAnsiTheme="minorEastAsia" w:cstheme="minorEastAsia"/>
                <w:b/>
                <w:spacing w:val="-6"/>
                <w:sz w:val="24"/>
                <w:szCs w:val="24"/>
              </w:rPr>
              <w:t>套灌区果树宽行密植标准化示范园建设。</w:t>
            </w:r>
            <w:r>
              <w:rPr>
                <w:rFonts w:hint="eastAsia" w:asciiTheme="minorEastAsia" w:hAnsiTheme="minorEastAsia" w:cstheme="minorEastAsia"/>
                <w:spacing w:val="-6"/>
                <w:sz w:val="24"/>
                <w:szCs w:val="24"/>
              </w:rPr>
              <w:t>引进西北农林科技大学的“西农模式”，开展主栽品种苹果梨、旱酥梨、鸡心果等品种选优及滴灌配套设施建设，总结形成适合我市苹果梨等宽行密植标准化栽培和管理技术。</w:t>
            </w:r>
          </w:p>
        </w:tc>
      </w:tr>
    </w:tbl>
    <w:p>
      <w:pPr>
        <w:spacing w:line="520" w:lineRule="exact"/>
        <w:ind w:firstLine="600" w:firstLineChars="200"/>
        <w:rPr>
          <w:rFonts w:ascii="黑体" w:hAnsi="黑体" w:eastAsia="黑体" w:cs="黑体"/>
          <w:sz w:val="30"/>
          <w:szCs w:val="30"/>
        </w:rPr>
      </w:pPr>
      <w:bookmarkStart w:id="94" w:name="_Toc83540971"/>
      <w:bookmarkStart w:id="95" w:name="_Toc28706"/>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第三节  沙漠生态系统综合治理技术</w:t>
      </w:r>
      <w:bookmarkEnd w:id="94"/>
      <w:bookmarkEnd w:id="95"/>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开展沙漠综合治理技术集成示范。</w:t>
      </w:r>
      <w:r>
        <w:rPr>
          <w:rFonts w:hint="eastAsia" w:asciiTheme="minorEastAsia" w:hAnsiTheme="minorEastAsia" w:cstheme="minorEastAsia"/>
          <w:sz w:val="28"/>
          <w:szCs w:val="28"/>
        </w:rPr>
        <w:t>优化乌兰布和沙漠植被恢复与重建技术体系，有效集成林木更新、机械沙障、飞播造林、封沙育林等综合治理技术，科学配置林草结构，选择耐干旱、耐风沙、适宜当地生长发育的树种草种，建成灌草乔结合、树种多样、功能配套的大型锁边防护林带。加大巴音温都尔沙漠综合治理力度，按照治用结合、造封飞结合的治理思路，区别不同沙化程度开展沙地植被建植技术、半固定和流动沙地固沙技术、天然植被更新复壮技术的有效应用，减轻土地沙化及沙尘对周边地区的危害，遏制沙漠迁移。</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强化全国防沙治沙综合示范区科技支撑。</w:t>
      </w:r>
      <w:r>
        <w:rPr>
          <w:rFonts w:hint="eastAsia" w:asciiTheme="minorEastAsia" w:hAnsiTheme="minorEastAsia" w:cstheme="minorEastAsia"/>
          <w:sz w:val="28"/>
          <w:szCs w:val="28"/>
        </w:rPr>
        <w:t>继续开展乌兰布和全国防沙治沙综合示范区建设，优先开展沙地大面积退牧还草生态恢复与建设关键技术试验示范，重点在林草提质增效、沙漠林业种质资源基因繁育、沙生珍稀植物资源保护等方面取得示范实效。加快推动中以防沙治沙生态产业园建设，通过规模化种植、标准化管理、机械化作业，带动发展一批沙漠治理典范，打造山水林田湖草沙生命共同体示范样板。积极应用防沙治沙生物技术，支持开展防风固沙植物规模化种植核心技术攻关、封沙育林育草技术集成创新。</w:t>
      </w:r>
    </w:p>
    <w:p>
      <w:pPr>
        <w:spacing w:line="520" w:lineRule="exact"/>
        <w:ind w:firstLine="560" w:firstLineChars="200"/>
        <w:rPr>
          <w:rFonts w:asciiTheme="minorEastAsia" w:hAnsiTheme="minorEastAsia" w:cstheme="minorEastAsia"/>
          <w:sz w:val="28"/>
          <w:szCs w:val="28"/>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Lines="50" w:afterLines="50" w:line="520" w:lineRule="exact"/>
              <w:ind w:left="210" w:leftChars="100" w:right="210" w:rightChars="100"/>
              <w:jc w:val="center"/>
              <w:rPr>
                <w:rFonts w:ascii="幼圆" w:eastAsia="幼圆"/>
                <w:b/>
                <w:sz w:val="24"/>
                <w:szCs w:val="24"/>
              </w:rPr>
            </w:pPr>
            <w:r>
              <w:rPr>
                <w:rFonts w:hint="eastAsia" w:ascii="幼圆" w:eastAsia="幼圆"/>
                <w:b/>
                <w:sz w:val="24"/>
                <w:szCs w:val="24"/>
              </w:rPr>
              <w:t>专栏1</w:t>
            </w:r>
            <w:r>
              <w:rPr>
                <w:rFonts w:hint="eastAsia" w:ascii="幼圆" w:eastAsia="幼圆"/>
                <w:b/>
                <w:sz w:val="24"/>
                <w:szCs w:val="24"/>
                <w:lang w:val="en-US" w:eastAsia="zh-CN"/>
              </w:rPr>
              <w:t>7</w:t>
            </w:r>
            <w:r>
              <w:rPr>
                <w:rFonts w:hint="eastAsia" w:ascii="幼圆" w:eastAsia="幼圆"/>
                <w:b/>
                <w:sz w:val="24"/>
                <w:szCs w:val="24"/>
              </w:rPr>
              <w:t xml:space="preserve">  沙漠生态系统恢复与重建重点技术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1、防沙治沙综合示范区生态修复理论与技术研究。</w:t>
            </w:r>
            <w:r>
              <w:rPr>
                <w:rFonts w:hint="eastAsia" w:asciiTheme="minorEastAsia" w:hAnsiTheme="minorEastAsia" w:cstheme="minorEastAsia"/>
                <w:sz w:val="24"/>
                <w:szCs w:val="24"/>
              </w:rPr>
              <w:t>乌兰布和沙漠生态系统监测与健康诊断，沙区生态修复配套技术，沙冬青、酸枣、杜仲叶林、梭梭、柽柳等沙生植物和特色林产品大面积培育关键技术应用示范，大面积流动沙丘绿色隔离带构建技术。</w:t>
            </w:r>
          </w:p>
          <w:p>
            <w:pPr>
              <w:spacing w:line="480" w:lineRule="exact"/>
              <w:ind w:left="210" w:leftChars="100" w:right="210" w:rightChars="100" w:firstLine="481" w:firstLineChars="200"/>
              <w:rPr>
                <w:rFonts w:ascii="幼圆" w:eastAsia="幼圆"/>
                <w:b/>
                <w:sz w:val="24"/>
                <w:szCs w:val="24"/>
              </w:rPr>
            </w:pPr>
            <w:r>
              <w:rPr>
                <w:rFonts w:hint="eastAsia" w:asciiTheme="minorEastAsia" w:hAnsiTheme="minorEastAsia" w:cstheme="minorEastAsia"/>
                <w:b/>
                <w:sz w:val="24"/>
                <w:szCs w:val="24"/>
              </w:rPr>
              <w:t>2、沙地人工植被优化配置技术和系统优化模式。</w:t>
            </w:r>
            <w:r>
              <w:rPr>
                <w:rFonts w:hint="eastAsia" w:asciiTheme="minorEastAsia" w:hAnsiTheme="minorEastAsia" w:cstheme="minorEastAsia"/>
                <w:sz w:val="24"/>
                <w:szCs w:val="24"/>
              </w:rPr>
              <w:t>不同类型沙区人工植被配置和稳定性机制，大中尺度沙地生态系统稳定植被群落结构演替及综合空间格局研究，灌、草、林结合的多层次林分结构建设，沙障—植生袋植被恢复一体化技术。</w:t>
            </w:r>
          </w:p>
        </w:tc>
      </w:tr>
    </w:tbl>
    <w:p>
      <w:pPr>
        <w:spacing w:line="520" w:lineRule="exact"/>
        <w:ind w:firstLine="600" w:firstLineChars="200"/>
        <w:rPr>
          <w:rFonts w:ascii="黑体" w:hAnsi="黑体" w:eastAsia="黑体" w:cs="黑体"/>
          <w:sz w:val="30"/>
          <w:szCs w:val="30"/>
        </w:rPr>
      </w:pPr>
      <w:bookmarkStart w:id="96" w:name="_Toc23063"/>
      <w:bookmarkStart w:id="97" w:name="_Toc83540972"/>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第四节  矿区复垦与生态修复技术</w:t>
      </w:r>
      <w:bookmarkEnd w:id="96"/>
      <w:bookmarkEnd w:id="97"/>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发展矿区生态复垦综合治理技术。</w:t>
      </w:r>
      <w:r>
        <w:rPr>
          <w:rFonts w:hint="eastAsia" w:asciiTheme="minorEastAsia" w:hAnsiTheme="minorEastAsia" w:cstheme="minorEastAsia"/>
          <w:sz w:val="28"/>
          <w:szCs w:val="28"/>
        </w:rPr>
        <w:t>面向乌拉山南北麓矿山、旗县区历史遗留矿山、乌梁素海周边山体创面等开展植被恢复技术研究示范，注重对生态复垦新技术、新方法的集成应用。重视开采过程中浅层地下水保护和水资源优化配置，支持研究采矿沉陷区生物多样性保护技术。</w:t>
      </w:r>
    </w:p>
    <w:p>
      <w:pPr>
        <w:spacing w:afterLines="50"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推行绿色矿山建设模式。</w:t>
      </w:r>
      <w:r>
        <w:rPr>
          <w:rFonts w:hint="eastAsia" w:asciiTheme="minorEastAsia" w:hAnsiTheme="minorEastAsia" w:cstheme="minorEastAsia"/>
          <w:sz w:val="28"/>
          <w:szCs w:val="28"/>
        </w:rPr>
        <w:t>加大矿区技术改造提升与示范，新建、改建、扩建矿山全面推行全程动态生态修复。实施矿山绿色化管理，加强对矿产有用组分的回收利用，对废弃物实行有效的资源削减。发展清洁开采和开采后矿区复垦技术研究应用。加快培育科技先导型大型矿山企业，提高矿山企业数字化关键技术应用及管理水平。</w:t>
      </w:r>
    </w:p>
    <w:p>
      <w:pPr>
        <w:spacing w:line="520" w:lineRule="exact"/>
        <w:rPr>
          <w:rFonts w:asciiTheme="minorEastAsia" w:hAnsiTheme="minorEastAsia" w:cstheme="minorEastAsia"/>
          <w:sz w:val="28"/>
          <w:szCs w:val="28"/>
        </w:rPr>
      </w:pPr>
      <w:bookmarkStart w:id="98" w:name="_Toc253"/>
      <w:bookmarkStart w:id="99" w:name="_Toc83540973"/>
    </w:p>
    <w:p>
      <w:pPr>
        <w:pStyle w:val="2"/>
        <w:rPr>
          <w:rFonts w:asciiTheme="minorEastAsia" w:hAnsiTheme="minorEastAsia" w:cstheme="minorEastAsia"/>
          <w:sz w:val="28"/>
          <w:szCs w:val="28"/>
        </w:rPr>
      </w:pPr>
    </w:p>
    <w:p>
      <w:pPr>
        <w:rPr>
          <w:rFonts w:asciiTheme="minorEastAsia" w:hAnsiTheme="minorEastAsia" w:cstheme="minorEastAsia"/>
          <w:sz w:val="28"/>
          <w:szCs w:val="28"/>
        </w:rPr>
      </w:pPr>
    </w:p>
    <w:p>
      <w:pPr>
        <w:pStyle w:val="2"/>
      </w:pPr>
    </w:p>
    <w:p>
      <w:pPr>
        <w:spacing w:line="520" w:lineRule="exact"/>
        <w:jc w:val="center"/>
        <w:rPr>
          <w:rFonts w:ascii="黑体" w:hAnsi="黑体" w:eastAsia="黑体" w:cs="黑体"/>
          <w:sz w:val="32"/>
          <w:szCs w:val="32"/>
        </w:rPr>
      </w:pPr>
      <w:r>
        <w:rPr>
          <w:rFonts w:hint="eastAsia" w:ascii="黑体" w:hAnsi="黑体" w:eastAsia="黑体" w:cs="黑体"/>
          <w:sz w:val="32"/>
          <w:szCs w:val="32"/>
        </w:rPr>
        <w:t>第十一章  强化环境保护与节能减排技术保障</w:t>
      </w:r>
      <w:bookmarkEnd w:id="98"/>
      <w:bookmarkEnd w:id="99"/>
    </w:p>
    <w:p>
      <w:pPr>
        <w:spacing w:line="520" w:lineRule="exact"/>
        <w:ind w:firstLine="560" w:firstLineChars="200"/>
        <w:rPr>
          <w:rFonts w:asciiTheme="minorEastAsia" w:hAnsiTheme="minorEastAsia" w:cstheme="minorEastAsia"/>
          <w:sz w:val="28"/>
          <w:szCs w:val="28"/>
        </w:rPr>
      </w:pP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深</w:t>
      </w:r>
      <w:r>
        <w:rPr>
          <w:rFonts w:hint="eastAsia" w:asciiTheme="minorEastAsia" w:hAnsiTheme="minorEastAsia" w:cstheme="minorEastAsia"/>
          <w:spacing w:val="-6"/>
          <w:sz w:val="28"/>
          <w:szCs w:val="28"/>
        </w:rPr>
        <w:t>入打好污染防治攻坚战，突出精准治污、科学治污，以节能环保重大科技项目为牵引，有序推进全市环境污染综合治理，着力构建改善环境污染治理技术体系，为确保完成“十四五”节能环保四大约束性指标提供坚实技术保障</w:t>
      </w:r>
      <w:r>
        <w:rPr>
          <w:rFonts w:hint="eastAsia" w:asciiTheme="minorEastAsia" w:hAnsiTheme="minorEastAsia" w:cstheme="minorEastAsia"/>
          <w:sz w:val="28"/>
          <w:szCs w:val="28"/>
        </w:rPr>
        <w:t>。</w:t>
      </w:r>
    </w:p>
    <w:p>
      <w:pPr>
        <w:spacing w:line="520" w:lineRule="exact"/>
        <w:ind w:firstLine="600" w:firstLineChars="200"/>
        <w:rPr>
          <w:rFonts w:ascii="黑体" w:hAnsi="黑体" w:eastAsia="黑体" w:cs="黑体"/>
          <w:sz w:val="30"/>
          <w:szCs w:val="30"/>
        </w:rPr>
      </w:pPr>
      <w:bookmarkStart w:id="100" w:name="_Toc83540974"/>
      <w:bookmarkStart w:id="101" w:name="_Toc18799"/>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第一节  提升污染防治与环境改善技术水平</w:t>
      </w:r>
      <w:bookmarkEnd w:id="100"/>
      <w:bookmarkEnd w:id="101"/>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开展大气污染综合治理技术集成应用。</w:t>
      </w:r>
      <w:r>
        <w:rPr>
          <w:rFonts w:hint="eastAsia" w:asciiTheme="minorEastAsia" w:hAnsiTheme="minorEastAsia" w:cstheme="minorEastAsia"/>
          <w:sz w:val="28"/>
          <w:szCs w:val="28"/>
        </w:rPr>
        <w:t>围绕我市煤电、新型化工、有色金属冶炼、生物发酵、建筑扬尘、工业锅炉等行业，开展挥发性有机污染物治理技术、烟气多污染协同处理技术、污染物回收及高值化利用技术、非常规污染物控制技术的集成应用。开展脱硫、脱硝、除汞副产物回收利用技术攻关，探索挥发性有机物源头控制方法，加强大气污染来源识别及区域联防联控技术集成研究应用。</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加强废水污水治理与资源化技术开发。</w:t>
      </w:r>
      <w:r>
        <w:rPr>
          <w:rFonts w:hint="eastAsia" w:asciiTheme="minorEastAsia" w:hAnsiTheme="minorEastAsia" w:cstheme="minorEastAsia"/>
          <w:sz w:val="28"/>
          <w:szCs w:val="28"/>
        </w:rPr>
        <w:t>开展工业园区高浓度难降解工业废水处理、水体富营养化控制、总磷达标排放技术研发。推进生活源污染治理，开展高效低耗生活污水处理与回用工艺研究示范，推广应用污泥无害化资源化处理技术。</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突破固体废物控制与循环利用技术。</w:t>
      </w:r>
      <w:r>
        <w:rPr>
          <w:rFonts w:hint="eastAsia" w:asciiTheme="minorEastAsia" w:hAnsiTheme="minorEastAsia" w:cstheme="minorEastAsia"/>
          <w:sz w:val="28"/>
          <w:szCs w:val="28"/>
        </w:rPr>
        <w:t>强化固体废物污染防治技术开发，推进“无废城市”建设。提高生活垃圾焚烧飞灰、浓缩渗滤液、填埋气利用技术水平，推动城镇垃圾无害化处理全覆盖。探索建筑垃圾资源化利用，引导建筑弃土回填矿坑、废弃窑场复耕技术推广。</w:t>
      </w:r>
    </w:p>
    <w:p>
      <w:pPr>
        <w:spacing w:line="520" w:lineRule="exact"/>
        <w:ind w:firstLine="562" w:firstLineChars="200"/>
        <w:rPr>
          <w:rFonts w:ascii="黑体" w:hAnsi="黑体" w:eastAsia="黑体" w:cs="黑体"/>
          <w:sz w:val="30"/>
          <w:szCs w:val="30"/>
        </w:rPr>
      </w:pPr>
      <w:r>
        <w:rPr>
          <w:rFonts w:hint="eastAsia" w:asciiTheme="minorEastAsia" w:hAnsiTheme="minorEastAsia" w:cstheme="minorEastAsia"/>
          <w:b/>
          <w:sz w:val="28"/>
          <w:szCs w:val="28"/>
        </w:rPr>
        <w:t>发展受污土壤防治技术。</w:t>
      </w:r>
      <w:r>
        <w:rPr>
          <w:rFonts w:hint="eastAsia" w:asciiTheme="minorEastAsia" w:hAnsiTheme="minorEastAsia" w:cstheme="minorEastAsia"/>
          <w:sz w:val="28"/>
          <w:szCs w:val="28"/>
        </w:rPr>
        <w:t>开展工业有机固废多级厌氧结合微生物强化生态修复沙化土壤改良技术、农业有机固废好氧堆肥结合微生物强化生态修复沙化土壤改良技术研究应用。开展功能材料、土壤调理剂等技术研究应用，加强功能性微生物在土壤修复领域的应用研究。</w:t>
      </w:r>
    </w:p>
    <w:p>
      <w:pPr>
        <w:spacing w:line="520" w:lineRule="exact"/>
        <w:ind w:firstLine="600" w:firstLineChars="200"/>
        <w:rPr>
          <w:rFonts w:ascii="黑体" w:hAnsi="黑体" w:eastAsia="黑体" w:cs="黑体"/>
          <w:sz w:val="30"/>
          <w:szCs w:val="30"/>
        </w:rPr>
      </w:pPr>
      <w:bookmarkStart w:id="102" w:name="_Toc13917"/>
      <w:bookmarkStart w:id="103" w:name="_Toc83540975"/>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保障重点领域节能技术供给</w:t>
      </w:r>
      <w:bookmarkEnd w:id="102"/>
      <w:bookmarkEnd w:id="103"/>
    </w:p>
    <w:p>
      <w:pPr>
        <w:spacing w:line="520" w:lineRule="exact"/>
        <w:ind w:firstLine="600" w:firstLineChars="200"/>
        <w:rPr>
          <w:rFonts w:asciiTheme="minorEastAsia" w:hAnsiTheme="minorEastAsia" w:cstheme="minorEastAsia"/>
          <w:sz w:val="28"/>
          <w:szCs w:val="28"/>
        </w:rPr>
      </w:pPr>
      <w:r>
        <w:rPr>
          <w:rFonts w:hint="eastAsia" w:ascii="黑体" w:hAnsi="黑体" w:eastAsia="黑体" w:cs="黑体"/>
          <w:sz w:val="30"/>
          <w:szCs w:val="30"/>
        </w:rPr>
        <w:t>加强重点领域节能技术应用。</w:t>
      </w:r>
      <w:r>
        <w:rPr>
          <w:rFonts w:hint="eastAsia" w:asciiTheme="minorEastAsia" w:hAnsiTheme="minorEastAsia" w:cstheme="minorEastAsia"/>
          <w:sz w:val="28"/>
          <w:szCs w:val="28"/>
        </w:rPr>
        <w:t>加快工业、建筑、交通等能源清洁替代，推动重点领域、行业和重要用能企业节能降耗。加快发展绿色建材，支持发展环境友好型建筑涂料和胶粘剂。推进区域热电联产、工业园区可再生能源应用。鼓励先进节能技术、智能控制技术与传统生产工艺的集成优化运用，加强流程工业系统节能。</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构建低碳循环技术体系。</w:t>
      </w:r>
      <w:r>
        <w:rPr>
          <w:rFonts w:hint="eastAsia" w:asciiTheme="minorEastAsia" w:hAnsiTheme="minorEastAsia" w:cstheme="minorEastAsia"/>
          <w:sz w:val="28"/>
          <w:szCs w:val="28"/>
        </w:rPr>
        <w:t>支持重点开发区、工业园区主导产业循环化改造，发展循环产业链互补项目，推进园区重点企业优化循环链条布局，扩大循环经济、节能减排、清洁生产覆盖面。鼓励园区开展循环产业链示范和先进节能技术改造，培育一批有较强节能技术储备和集成应用能力的示范企业。重视低碳技术引进再创新和产业化应用，实施一批碳捕集封存、碳利用技术集成示范。</w:t>
      </w:r>
    </w:p>
    <w:p>
      <w:pPr>
        <w:spacing w:line="520" w:lineRule="exact"/>
        <w:ind w:firstLine="560" w:firstLineChars="200"/>
        <w:rPr>
          <w:rFonts w:asciiTheme="minorEastAsia" w:hAnsiTheme="minorEastAsia" w:cstheme="minorEastAsia"/>
          <w:sz w:val="28"/>
          <w:szCs w:val="28"/>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beforeLines="50" w:afterLines="50" w:line="520" w:lineRule="exact"/>
              <w:ind w:left="210" w:leftChars="100" w:right="210" w:rightChars="100"/>
              <w:jc w:val="center"/>
              <w:rPr>
                <w:rFonts w:ascii="幼圆" w:eastAsia="幼圆"/>
                <w:b/>
                <w:sz w:val="24"/>
                <w:szCs w:val="24"/>
              </w:rPr>
            </w:pPr>
            <w:r>
              <w:rPr>
                <w:rFonts w:hint="eastAsia" w:ascii="幼圆" w:eastAsia="幼圆"/>
                <w:b/>
                <w:sz w:val="24"/>
                <w:szCs w:val="24"/>
              </w:rPr>
              <w:t>专栏</w:t>
            </w:r>
            <w:r>
              <w:rPr>
                <w:rFonts w:hint="eastAsia" w:ascii="幼圆" w:eastAsia="幼圆"/>
                <w:b/>
                <w:sz w:val="24"/>
                <w:szCs w:val="24"/>
                <w:lang w:val="en-US" w:eastAsia="zh-CN"/>
              </w:rPr>
              <w:t>18</w:t>
            </w:r>
            <w:r>
              <w:rPr>
                <w:rFonts w:hint="eastAsia" w:ascii="幼圆" w:eastAsia="幼圆"/>
                <w:b/>
                <w:sz w:val="24"/>
                <w:szCs w:val="24"/>
              </w:rPr>
              <w:t xml:space="preserve">  节能环保关键技术与污染物资源化利用重点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firstLine="481" w:firstLineChars="200"/>
              <w:textAlignment w:val="auto"/>
              <w:rPr>
                <w:rFonts w:asciiTheme="minorEastAsia" w:hAnsiTheme="minorEastAsia" w:cstheme="minorEastAsia"/>
                <w:sz w:val="24"/>
                <w:szCs w:val="24"/>
              </w:rPr>
            </w:pPr>
            <w:r>
              <w:rPr>
                <w:rFonts w:hint="eastAsia" w:asciiTheme="minorEastAsia" w:hAnsiTheme="minorEastAsia" w:cstheme="minorEastAsia"/>
                <w:b/>
                <w:sz w:val="24"/>
                <w:szCs w:val="24"/>
              </w:rPr>
              <w:t>1、农村牧区面源污染控制技术。</w:t>
            </w:r>
            <w:r>
              <w:rPr>
                <w:rFonts w:hint="eastAsia" w:asciiTheme="minorEastAsia" w:hAnsiTheme="minorEastAsia" w:cstheme="minorEastAsia"/>
                <w:sz w:val="24"/>
                <w:szCs w:val="24"/>
              </w:rPr>
              <w:t>废物高效资源化综合利用关键技术与设备开发应用，养殖废弃物处理及资源化循环周期内无二次污染关键技术，城镇乡村黑臭水体治理技术，农村牧区面源污染评估与在线监测。</w:t>
            </w:r>
          </w:p>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firstLine="481" w:firstLineChars="200"/>
              <w:textAlignment w:val="auto"/>
              <w:rPr>
                <w:rFonts w:asciiTheme="minorEastAsia" w:hAnsiTheme="minorEastAsia" w:cstheme="minorEastAsia"/>
                <w:sz w:val="24"/>
                <w:szCs w:val="24"/>
              </w:rPr>
            </w:pPr>
            <w:r>
              <w:rPr>
                <w:rFonts w:hint="eastAsia" w:asciiTheme="minorEastAsia" w:hAnsiTheme="minorEastAsia" w:cstheme="minorEastAsia"/>
                <w:b/>
                <w:sz w:val="24"/>
                <w:szCs w:val="24"/>
              </w:rPr>
              <w:t>2、秸秆能源化资源化利用全产业链零排放技术集成与示范。</w:t>
            </w:r>
            <w:r>
              <w:rPr>
                <w:rFonts w:hint="eastAsia" w:asciiTheme="minorEastAsia" w:hAnsiTheme="minorEastAsia" w:cstheme="minorEastAsia"/>
                <w:sz w:val="24"/>
                <w:szCs w:val="24"/>
              </w:rPr>
              <w:t>提出秸秆、根茎、林木残枝烂根等生物质收集、前处理、料仓暂存与自动化输送技术体系，研发制备热解气化焚烧炉，提供民居、设施大棚、农产品加工所需热能。</w:t>
            </w:r>
          </w:p>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firstLine="481" w:firstLineChars="200"/>
              <w:textAlignment w:val="auto"/>
              <w:rPr>
                <w:rFonts w:asciiTheme="minorEastAsia" w:hAnsiTheme="minorEastAsia" w:cstheme="minorEastAsia"/>
                <w:sz w:val="24"/>
                <w:szCs w:val="24"/>
              </w:rPr>
            </w:pPr>
            <w:r>
              <w:rPr>
                <w:rFonts w:hint="eastAsia" w:asciiTheme="minorEastAsia" w:hAnsiTheme="minorEastAsia" w:cstheme="minorEastAsia"/>
                <w:b/>
                <w:sz w:val="24"/>
                <w:szCs w:val="24"/>
              </w:rPr>
              <w:t>3、环保产业与循环经济关键技术</w:t>
            </w:r>
            <w:r>
              <w:rPr>
                <w:rFonts w:hint="eastAsia" w:asciiTheme="minorEastAsia" w:hAnsiTheme="minorEastAsia" w:cstheme="minorEastAsia"/>
                <w:b/>
                <w:spacing w:val="-6"/>
                <w:sz w:val="24"/>
                <w:szCs w:val="24"/>
              </w:rPr>
              <w:t>。</w:t>
            </w:r>
            <w:r>
              <w:rPr>
                <w:rFonts w:hint="eastAsia" w:asciiTheme="minorEastAsia" w:hAnsiTheme="minorEastAsia" w:cstheme="minorEastAsia"/>
                <w:spacing w:val="-6"/>
                <w:sz w:val="24"/>
                <w:szCs w:val="24"/>
              </w:rPr>
              <w:t>尾矿干排环保节能技术升级，硫铁钛综合循环利用项目，减污型生态拦截排水沟技术，污染源在线监测技术，高盐水污染高效处理技术，锅炉烟气治理、中水回用、固废综合利用等装备制造技术，三废治理及节能环保技术，“环保医院”“环保物业”等节能环保新业态培育。</w:t>
            </w:r>
          </w:p>
          <w:p>
            <w:pPr>
              <w:keepNext w:val="0"/>
              <w:keepLines w:val="0"/>
              <w:pageBreakBefore w:val="0"/>
              <w:widowControl w:val="0"/>
              <w:kinsoku/>
              <w:wordWrap/>
              <w:overflowPunct/>
              <w:topLinePunct w:val="0"/>
              <w:autoSpaceDE/>
              <w:autoSpaceDN/>
              <w:bidi w:val="0"/>
              <w:adjustRightInd/>
              <w:snapToGrid/>
              <w:spacing w:afterLines="50" w:line="420" w:lineRule="exact"/>
              <w:ind w:left="210" w:leftChars="100" w:right="210" w:rightChars="100" w:firstLine="481" w:firstLineChars="200"/>
              <w:textAlignment w:val="auto"/>
              <w:rPr>
                <w:rFonts w:ascii="幼圆" w:eastAsia="幼圆"/>
                <w:b/>
                <w:sz w:val="24"/>
                <w:szCs w:val="24"/>
              </w:rPr>
            </w:pPr>
            <w:r>
              <w:rPr>
                <w:rFonts w:hint="eastAsia" w:asciiTheme="minorEastAsia" w:hAnsiTheme="minorEastAsia" w:cstheme="minorEastAsia"/>
                <w:b/>
                <w:sz w:val="24"/>
                <w:szCs w:val="24"/>
              </w:rPr>
              <w:t>4、碳达峰、碳中和技术供给路径研究。</w:t>
            </w:r>
            <w:r>
              <w:rPr>
                <w:rFonts w:hint="eastAsia" w:asciiTheme="minorEastAsia" w:hAnsiTheme="minorEastAsia" w:cstheme="minorEastAsia"/>
                <w:sz w:val="24"/>
                <w:szCs w:val="24"/>
              </w:rPr>
              <w:t>围绕我市碳达峰、碳中和重大科技需求，开展技术供给路径研究，重点在能源、电力、化工、矿业等行业和地质条件合适地区开展近零碳排放技术试点示范。</w:t>
            </w:r>
          </w:p>
        </w:tc>
      </w:tr>
    </w:tbl>
    <w:p>
      <w:pPr>
        <w:pStyle w:val="4"/>
        <w:spacing w:after="156" w:line="400" w:lineRule="exact"/>
        <w:ind w:firstLine="0" w:firstLineChars="0"/>
        <w:jc w:val="center"/>
        <w:rPr>
          <w:rFonts w:ascii="黑体" w:hAnsi="黑体" w:eastAsia="黑体" w:cs="黑体"/>
          <w:b w:val="0"/>
          <w:bCs w:val="0"/>
          <w:sz w:val="32"/>
        </w:rPr>
      </w:pPr>
      <w:bookmarkStart w:id="104" w:name="_Toc25525"/>
      <w:bookmarkStart w:id="105" w:name="_Toc83540976"/>
    </w:p>
    <w:p>
      <w:pPr>
        <w:spacing w:line="520" w:lineRule="exact"/>
        <w:jc w:val="center"/>
        <w:rPr>
          <w:rFonts w:ascii="黑体" w:hAnsi="黑体" w:eastAsia="黑体" w:cs="黑体"/>
          <w:sz w:val="36"/>
          <w:szCs w:val="36"/>
        </w:rPr>
      </w:pPr>
      <w:r>
        <w:rPr>
          <w:rFonts w:hint="eastAsia" w:ascii="黑体" w:hAnsi="黑体" w:eastAsia="黑体" w:cs="黑体"/>
          <w:sz w:val="36"/>
          <w:szCs w:val="36"/>
        </w:rPr>
        <w:t>第六篇  增进民生福祉 保障公共安全</w:t>
      </w:r>
      <w:bookmarkEnd w:id="104"/>
      <w:bookmarkEnd w:id="105"/>
    </w:p>
    <w:p>
      <w:pPr>
        <w:spacing w:line="520" w:lineRule="exact"/>
        <w:rPr>
          <w:rFonts w:ascii="黑体" w:hAnsi="黑体" w:eastAsia="黑体" w:cs="黑体"/>
          <w:sz w:val="30"/>
          <w:szCs w:val="30"/>
        </w:rPr>
      </w:pP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满足民众追求美好生活新期待，集成适合城市不同层次需求的增进民生福祉、提升消费选择的技术方案，让全体民众充分享受创新发展成果。健全公共安全科技体系，确保社会和谐发展，人民安居乐业。</w:t>
      </w:r>
    </w:p>
    <w:p>
      <w:pPr>
        <w:spacing w:line="520" w:lineRule="exact"/>
        <w:ind w:firstLine="560" w:firstLineChars="200"/>
        <w:rPr>
          <w:rFonts w:asciiTheme="minorEastAsia" w:hAnsiTheme="minorEastAsia" w:cstheme="minorEastAsia"/>
          <w:sz w:val="28"/>
          <w:szCs w:val="28"/>
        </w:rPr>
      </w:pPr>
    </w:p>
    <w:p>
      <w:pPr>
        <w:spacing w:line="520" w:lineRule="exact"/>
        <w:jc w:val="center"/>
        <w:rPr>
          <w:rFonts w:ascii="黑体" w:hAnsi="黑体" w:eastAsia="黑体" w:cs="黑体"/>
          <w:sz w:val="30"/>
          <w:szCs w:val="30"/>
        </w:rPr>
      </w:pPr>
      <w:bookmarkStart w:id="106" w:name="_Toc83540977"/>
      <w:bookmarkStart w:id="107" w:name="_Toc27257"/>
      <w:r>
        <w:rPr>
          <w:rFonts w:hint="eastAsia" w:ascii="黑体" w:hAnsi="黑体" w:eastAsia="黑体" w:cs="黑体"/>
          <w:sz w:val="30"/>
          <w:szCs w:val="30"/>
        </w:rPr>
        <w:t>第十二章  提高民众生活质量和健康保障</w:t>
      </w:r>
      <w:bookmarkEnd w:id="106"/>
      <w:bookmarkEnd w:id="107"/>
    </w:p>
    <w:p>
      <w:pPr>
        <w:spacing w:line="520" w:lineRule="exact"/>
        <w:rPr>
          <w:rFonts w:ascii="黑体" w:hAnsi="黑体" w:eastAsia="黑体" w:cs="黑体"/>
          <w:sz w:val="30"/>
          <w:szCs w:val="30"/>
        </w:rPr>
      </w:pPr>
    </w:p>
    <w:p>
      <w:pPr>
        <w:spacing w:line="520" w:lineRule="exact"/>
        <w:ind w:firstLine="600" w:firstLineChars="200"/>
        <w:rPr>
          <w:rFonts w:ascii="黑体" w:hAnsi="黑体" w:eastAsia="黑体" w:cs="黑体"/>
          <w:sz w:val="30"/>
          <w:szCs w:val="30"/>
        </w:rPr>
      </w:pPr>
      <w:bookmarkStart w:id="108" w:name="_Toc10294"/>
      <w:bookmarkStart w:id="109" w:name="_Toc83540978"/>
      <w:r>
        <w:rPr>
          <w:rFonts w:hint="eastAsia" w:ascii="黑体" w:hAnsi="黑体" w:eastAsia="黑体" w:cs="黑体"/>
          <w:sz w:val="30"/>
          <w:szCs w:val="30"/>
        </w:rPr>
        <w:t>第一节  提高城乡居民生活质量，推动惠民基础建设</w:t>
      </w:r>
      <w:bookmarkEnd w:id="108"/>
      <w:bookmarkEnd w:id="109"/>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提升城乡居民生活水平。</w:t>
      </w:r>
      <w:r>
        <w:rPr>
          <w:rFonts w:hint="eastAsia" w:asciiTheme="minorEastAsia" w:hAnsiTheme="minorEastAsia" w:cstheme="minorEastAsia"/>
          <w:sz w:val="28"/>
          <w:szCs w:val="28"/>
        </w:rPr>
        <w:t>以满足城乡居民高品质生活为导向，促进新业态新模式带动消费扩容提质。加强农商互联农畜产品供应链建设，保障绿色健康食品开发供给。加快农村牧区商贸流通数字化升级，实现居民日常生活高端、适宜、便捷。支持开展多种形式职业技能培训，促进教育信息化和教育手段现代化，实现教育资源普惠共享。</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重视科技惠民基础设施建设。</w:t>
      </w:r>
      <w:r>
        <w:rPr>
          <w:rFonts w:hint="eastAsia" w:asciiTheme="minorEastAsia" w:hAnsiTheme="minorEastAsia" w:cstheme="minorEastAsia"/>
          <w:sz w:val="28"/>
          <w:szCs w:val="28"/>
        </w:rPr>
        <w:t>提升通信基础设施技术保障水平，加快家庭宽带千兆、百兆接入普及。推动5G网络、工业互联网、物联网等优先覆盖核心商圈、产业园区、交通枢纽。大力发展融合化在线教育、互联网医疗、便捷化线上办公，培育产业平台化发展生态。加快社会管理数字化转型步伐，推广基于城市大脑的智慧社区、智慧交通等现代新生活模式应用示范。</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开展科技与文化融合发展。</w:t>
      </w:r>
      <w:r>
        <w:rPr>
          <w:rFonts w:hint="eastAsia" w:asciiTheme="minorEastAsia" w:hAnsiTheme="minorEastAsia" w:cstheme="minorEastAsia"/>
          <w:sz w:val="28"/>
          <w:szCs w:val="28"/>
        </w:rPr>
        <w:t>围绕全域旅游总体格局，重点发展文化旅游、沙漠生态、口岸风貌等创意设计新业态。提高河套平原农耕文化旅游、乌拉特草原文化旅游、河套水利文化旅游、乌兰布和沙漠创意文化旅游等特色旅游品牌的科技应用水平，促进文化与科技融合技术新突破。鼓励景区开展旅游资源数字化集成应用。</w:t>
      </w:r>
    </w:p>
    <w:p>
      <w:pPr>
        <w:spacing w:line="520" w:lineRule="exact"/>
        <w:ind w:firstLine="600" w:firstLineChars="200"/>
        <w:rPr>
          <w:rFonts w:ascii="黑体" w:hAnsi="黑体" w:eastAsia="黑体" w:cs="黑体"/>
          <w:sz w:val="30"/>
          <w:szCs w:val="30"/>
        </w:rPr>
      </w:pPr>
      <w:bookmarkStart w:id="110" w:name="_Toc83540979"/>
      <w:bookmarkStart w:id="111" w:name="_Toc15763"/>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提高医疗和健康服务技术水平</w:t>
      </w:r>
      <w:bookmarkEnd w:id="110"/>
      <w:bookmarkEnd w:id="111"/>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提高疾病防控技术水平。</w:t>
      </w:r>
      <w:r>
        <w:rPr>
          <w:rFonts w:hint="eastAsia" w:asciiTheme="minorEastAsia" w:hAnsiTheme="minorEastAsia" w:cstheme="minorEastAsia"/>
          <w:sz w:val="28"/>
          <w:szCs w:val="28"/>
        </w:rPr>
        <w:t>完善重大传染疾病、慢性病、职业病，精神疾病防治体系，重点突破常见多发疾病的防、诊、治关键技术，有效降低重大慢病发病率、死亡率和疾病负担。重视生殖健康及出生缺陷防控研究，保障育龄人口生殖健康。重视微创/无创治疗技术应用，加强免疫治疗、基因治疗、细胞治疗等生物治疗技术的临床应用。</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发展新型健康服务模式。</w:t>
      </w:r>
      <w:r>
        <w:rPr>
          <w:rFonts w:hint="eastAsia" w:asciiTheme="minorEastAsia" w:hAnsiTheme="minorEastAsia" w:cstheme="minorEastAsia"/>
          <w:sz w:val="28"/>
          <w:szCs w:val="28"/>
        </w:rPr>
        <w:t>加强临床医学与公共卫生整合，推动晚期疾病治疗模式转变为早期健康促进模式。建立覆盖医院、社区、家庭、个体的连续性疾病管理模式，提升个性化健康服务技术水平。鼓励运用智能物联终端设备，推动医疗健康服务与大数据分析紧密融合，建立基于共享医疗新空间的疾病诊疗和健康管理服务模式。推进基层互联网诊疗服务，制定养老健康服务技术标准和解决方案。</w:t>
      </w:r>
    </w:p>
    <w:p>
      <w:pPr>
        <w:spacing w:line="520" w:lineRule="exact"/>
        <w:ind w:firstLine="560" w:firstLineChars="200"/>
        <w:rPr>
          <w:rFonts w:asciiTheme="minorEastAsia" w:hAnsiTheme="minorEastAsia" w:cstheme="minorEastAsia"/>
          <w:sz w:val="28"/>
          <w:szCs w:val="28"/>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Lines="50" w:line="520" w:lineRule="exact"/>
              <w:ind w:left="210" w:leftChars="100" w:right="210" w:rightChars="100"/>
              <w:jc w:val="center"/>
              <w:rPr>
                <w:rFonts w:ascii="幼圆" w:eastAsia="幼圆"/>
                <w:b/>
                <w:sz w:val="24"/>
                <w:szCs w:val="24"/>
              </w:rPr>
            </w:pPr>
            <w:r>
              <w:rPr>
                <w:rFonts w:hint="eastAsia" w:ascii="幼圆" w:eastAsia="幼圆"/>
                <w:b/>
                <w:sz w:val="24"/>
                <w:szCs w:val="24"/>
              </w:rPr>
              <w:t>专栏</w:t>
            </w:r>
            <w:r>
              <w:rPr>
                <w:rFonts w:hint="eastAsia" w:ascii="幼圆" w:eastAsia="幼圆"/>
                <w:b/>
                <w:sz w:val="24"/>
                <w:szCs w:val="24"/>
                <w:lang w:val="en-US" w:eastAsia="zh-CN"/>
              </w:rPr>
              <w:t>19</w:t>
            </w:r>
            <w:r>
              <w:rPr>
                <w:rFonts w:hint="eastAsia" w:ascii="幼圆" w:eastAsia="幼圆"/>
                <w:b/>
                <w:sz w:val="24"/>
                <w:szCs w:val="24"/>
              </w:rPr>
              <w:t xml:space="preserve">  医疗与健康服务重点技术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1、地方病研究。</w:t>
            </w:r>
            <w:r>
              <w:rPr>
                <w:rFonts w:hint="eastAsia" w:asciiTheme="minorEastAsia" w:hAnsiTheme="minorEastAsia" w:cstheme="minorEastAsia"/>
                <w:sz w:val="24"/>
                <w:szCs w:val="24"/>
              </w:rPr>
              <w:t>地方性砷中毒的防控，河套地区地方性砷中毒患者肠道微生态分析与新防控方式研究，地方性砷中毒对骨关节的影响机制，地方性氟中毒的防治，布氏杆菌脊柱炎的机制及防控。</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2、消化系统疾病研究。</w:t>
            </w:r>
            <w:r>
              <w:rPr>
                <w:rFonts w:hint="eastAsia" w:asciiTheme="minorEastAsia" w:hAnsiTheme="minorEastAsia" w:cstheme="minorEastAsia"/>
                <w:sz w:val="24"/>
                <w:szCs w:val="24"/>
              </w:rPr>
              <w:t>消化道早癌筛查与诊治体系，空肠间置技术，全腹腔镜及双镜联合胃肠道手术体系，腹膜癌诊疗技术体系，加速康复外科建设体系。针对巴彦淖尔地区幽门螺旋杆菌感染现症调查及据药敏实验地区敏感药物的研究。针对胃食管反流病相关影响因素的研究。针对胃食管反流病24小时测酸测压情况分析非酒精性脂肪肝与胆石症相关性研究。胆汁成份的研究及炎症因子表达的分布。</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3、妇产科疾病研究。</w:t>
            </w:r>
            <w:r>
              <w:rPr>
                <w:rFonts w:hint="eastAsia" w:asciiTheme="minorEastAsia" w:hAnsiTheme="minorEastAsia" w:cstheme="minorEastAsia"/>
                <w:sz w:val="24"/>
                <w:szCs w:val="24"/>
              </w:rPr>
              <w:t>孕期营养和体重管理降低妊娠期高血压和妊娠期糖尿病的发生率。妇科恶性肿瘤的防治及其微创手术临床研究。</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4、脑血管病研究。</w:t>
            </w:r>
            <w:r>
              <w:rPr>
                <w:rFonts w:hint="eastAsia" w:asciiTheme="minorEastAsia" w:hAnsiTheme="minorEastAsia" w:cstheme="minorEastAsia"/>
                <w:sz w:val="24"/>
                <w:szCs w:val="24"/>
              </w:rPr>
              <w:t>颅内动脉瘤栓塞，夹闭及急性大血管闭塞急诊取栓术流临床研究。高血压脑出血内镜治疗临床研究。针对本地区常见脑血管病，痴呆，帕金森病，研究病因，内容包括生活方式，饮食习惯等对疾病的影响。脑卒中预防和早诊早治研究。</w:t>
            </w:r>
          </w:p>
          <w:p>
            <w:pPr>
              <w:spacing w:line="480" w:lineRule="exact"/>
              <w:ind w:left="210" w:leftChars="100" w:right="210" w:rightChars="100" w:firstLine="481" w:firstLineChars="200"/>
              <w:rPr>
                <w:rFonts w:asciiTheme="minorEastAsia" w:hAnsiTheme="minorEastAsia" w:cstheme="minorEastAsia"/>
                <w:sz w:val="24"/>
                <w:szCs w:val="24"/>
              </w:rPr>
            </w:pPr>
            <w:r>
              <w:rPr>
                <w:rFonts w:hint="eastAsia" w:asciiTheme="minorEastAsia" w:hAnsiTheme="minorEastAsia" w:cstheme="minorEastAsia"/>
                <w:b/>
                <w:sz w:val="24"/>
                <w:szCs w:val="24"/>
              </w:rPr>
              <w:t>5、呼吸系统疾病研究。</w:t>
            </w:r>
            <w:r>
              <w:rPr>
                <w:rFonts w:hint="eastAsia" w:asciiTheme="minorEastAsia" w:hAnsiTheme="minorEastAsia" w:cstheme="minorEastAsia"/>
                <w:sz w:val="24"/>
                <w:szCs w:val="24"/>
              </w:rPr>
              <w:t>研究我地区40岁以上居民中慢性阻塞性肺疾病（COPD）高危人群的分布和特征和相关危险因素分析，为COPD综合防控和规范治疗提供依据。肺部肿瘤早筛早诊研究。使用低剂量CT对肺癌危险人群进行筛查，获得早癌相关资料。</w:t>
            </w:r>
          </w:p>
          <w:p>
            <w:pPr>
              <w:spacing w:line="480" w:lineRule="exact"/>
              <w:ind w:left="210" w:leftChars="100" w:right="210" w:rightChars="100" w:firstLine="481" w:firstLineChars="200"/>
              <w:rPr>
                <w:rFonts w:ascii="幼圆"/>
                <w:b/>
                <w:sz w:val="24"/>
                <w:szCs w:val="24"/>
              </w:rPr>
            </w:pPr>
            <w:r>
              <w:rPr>
                <w:rFonts w:hint="eastAsia" w:asciiTheme="minorEastAsia" w:hAnsiTheme="minorEastAsia" w:cstheme="minorEastAsia"/>
                <w:b/>
                <w:sz w:val="24"/>
                <w:szCs w:val="24"/>
              </w:rPr>
              <w:t>6、骨科疾病研究。</w:t>
            </w:r>
            <w:r>
              <w:rPr>
                <w:rFonts w:hint="eastAsia" w:asciiTheme="minorEastAsia" w:hAnsiTheme="minorEastAsia" w:cstheme="minorEastAsia"/>
                <w:sz w:val="24"/>
                <w:szCs w:val="24"/>
              </w:rPr>
              <w:t>内蒙古河套地区脊髓损伤治疗技术创新。骨盆骨折机器人辅助手术治疗，骨盆骨折3D打印辅助手术治疗，骨盆骨折微创手术治疗。旋根机等机器引起的下肢外伤相关流行病学调查研究。老年性胸腰椎骨质疏松骨折微创手术后邻椎再骨折发生率高，做减少再骨折相关机制和临床研究。</w:t>
            </w:r>
          </w:p>
        </w:tc>
      </w:tr>
    </w:tbl>
    <w:p>
      <w:pPr>
        <w:spacing w:line="520" w:lineRule="exact"/>
        <w:jc w:val="center"/>
        <w:rPr>
          <w:rFonts w:ascii="黑体" w:hAnsi="黑体" w:eastAsia="黑体" w:cs="黑体"/>
          <w:sz w:val="32"/>
          <w:szCs w:val="32"/>
        </w:rPr>
      </w:pPr>
      <w:bookmarkStart w:id="112" w:name="_Toc943"/>
      <w:bookmarkStart w:id="113" w:name="_Toc83540980"/>
    </w:p>
    <w:p>
      <w:pPr>
        <w:spacing w:line="520" w:lineRule="exact"/>
        <w:jc w:val="center"/>
        <w:rPr>
          <w:rFonts w:hint="eastAsia" w:ascii="黑体" w:hAnsi="黑体" w:eastAsia="黑体" w:cs="黑体"/>
          <w:sz w:val="32"/>
          <w:szCs w:val="32"/>
        </w:rPr>
      </w:pPr>
    </w:p>
    <w:p>
      <w:pPr>
        <w:spacing w:line="520" w:lineRule="exact"/>
        <w:jc w:val="center"/>
        <w:rPr>
          <w:rFonts w:ascii="黑体" w:hAnsi="黑体" w:eastAsia="黑体" w:cs="黑体"/>
          <w:sz w:val="30"/>
          <w:szCs w:val="30"/>
        </w:rPr>
      </w:pPr>
      <w:r>
        <w:rPr>
          <w:rFonts w:hint="eastAsia" w:ascii="黑体" w:hAnsi="黑体" w:eastAsia="黑体" w:cs="黑体"/>
          <w:sz w:val="32"/>
          <w:szCs w:val="32"/>
        </w:rPr>
        <w:t>第十三章  提高公共安全科技保障能力</w:t>
      </w:r>
      <w:bookmarkEnd w:id="112"/>
      <w:bookmarkEnd w:id="113"/>
    </w:p>
    <w:p>
      <w:pPr>
        <w:spacing w:line="520" w:lineRule="exact"/>
        <w:ind w:firstLine="600" w:firstLineChars="200"/>
        <w:rPr>
          <w:rFonts w:ascii="黑体" w:hAnsi="黑体" w:eastAsia="黑体" w:cs="黑体"/>
          <w:sz w:val="30"/>
          <w:szCs w:val="30"/>
        </w:rPr>
      </w:pPr>
    </w:p>
    <w:p>
      <w:pPr>
        <w:spacing w:line="520" w:lineRule="exact"/>
        <w:ind w:firstLine="600" w:firstLineChars="200"/>
        <w:rPr>
          <w:rFonts w:ascii="黑体" w:hAnsi="黑体" w:eastAsia="黑体" w:cs="黑体"/>
          <w:sz w:val="30"/>
          <w:szCs w:val="30"/>
        </w:rPr>
      </w:pPr>
      <w:bookmarkStart w:id="114" w:name="_Toc83540981"/>
      <w:bookmarkStart w:id="115" w:name="_Toc2285"/>
      <w:r>
        <w:rPr>
          <w:rFonts w:hint="eastAsia" w:ascii="黑体" w:hAnsi="黑体" w:eastAsia="黑体" w:cs="黑体"/>
          <w:sz w:val="30"/>
          <w:szCs w:val="30"/>
        </w:rPr>
        <w:t>第一节  饮用水及食品药品安全技术</w:t>
      </w:r>
      <w:bookmarkEnd w:id="114"/>
      <w:bookmarkEnd w:id="115"/>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提升城乡饮水安全技术水平。</w:t>
      </w:r>
      <w:r>
        <w:rPr>
          <w:rFonts w:hint="eastAsia" w:asciiTheme="minorEastAsia" w:hAnsiTheme="minorEastAsia" w:cstheme="minorEastAsia"/>
          <w:sz w:val="28"/>
          <w:szCs w:val="28"/>
        </w:rPr>
        <w:t>开展不同地区饮用水源供水工程安全与风险评估，水源地及新建水源厂水质、水量调控与污染防控技术集成示范。重点加强集中供水安全消毒与水质检测技术与装备、生活饮用水应急处理技术。</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提供食品安全技术保障。</w:t>
      </w:r>
      <w:r>
        <w:rPr>
          <w:rFonts w:hint="eastAsia" w:asciiTheme="minorEastAsia" w:hAnsiTheme="minorEastAsia" w:cstheme="minorEastAsia"/>
          <w:sz w:val="28"/>
          <w:szCs w:val="28"/>
        </w:rPr>
        <w:t>开展食品安全应用技术研究，重点加强食用农畜产品源头治理技术、质量溯源控制技术、食品质量检测识别技术研究应用。研究开发高效、环保、精准冷链装备及氨制冷系统安全技术，研究基于信息技术的绿色冷链物流系统优化技术。</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强化药品安全技术支撑。</w:t>
      </w:r>
      <w:r>
        <w:rPr>
          <w:rFonts w:hint="eastAsia" w:asciiTheme="minorEastAsia" w:hAnsiTheme="minorEastAsia" w:cstheme="minorEastAsia"/>
          <w:sz w:val="28"/>
          <w:szCs w:val="28"/>
        </w:rPr>
        <w:t>开展药品安全与质量控制、安全评价与预警技术研究。支持开展化学药品、新型生物制品、毒性中药材、特殊药物剂型等的安全性、有效性评价技术研究。建立中药（蒙药）材检验检测数据库以及多糖类药物、多组分生化药质量控制技术平台，开展药品安全大数据分析研究。</w:t>
      </w:r>
    </w:p>
    <w:p>
      <w:pPr>
        <w:pStyle w:val="5"/>
      </w:pPr>
    </w:p>
    <w:p>
      <w:pPr>
        <w:spacing w:line="520" w:lineRule="exact"/>
        <w:ind w:firstLine="600" w:firstLineChars="200"/>
        <w:rPr>
          <w:rFonts w:ascii="黑体" w:hAnsi="黑体" w:eastAsia="黑体" w:cs="黑体"/>
          <w:sz w:val="30"/>
          <w:szCs w:val="30"/>
        </w:rPr>
      </w:pPr>
      <w:bookmarkStart w:id="116" w:name="_Toc29680"/>
      <w:bookmarkStart w:id="117" w:name="_Toc83540982"/>
      <w:r>
        <w:rPr>
          <w:rFonts w:hint="eastAsia" w:ascii="黑体" w:hAnsi="黑体" w:eastAsia="黑体" w:cs="黑体"/>
          <w:sz w:val="30"/>
          <w:szCs w:val="30"/>
        </w:rPr>
        <w:t>第二节  防灾减灾及公共安全关键技术</w:t>
      </w:r>
      <w:bookmarkEnd w:id="116"/>
      <w:bookmarkEnd w:id="117"/>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推动防灾减灾技术升级。</w:t>
      </w:r>
      <w:r>
        <w:rPr>
          <w:rFonts w:hint="eastAsia" w:asciiTheme="minorEastAsia" w:hAnsiTheme="minorEastAsia" w:cstheme="minorEastAsia"/>
          <w:sz w:val="28"/>
          <w:szCs w:val="28"/>
        </w:rPr>
        <w:t>加快推进防灾减灾业务平台技术升级，完善重大风险源野外观测网站系统建设，提升灾害危险性分析、风险评估和情景预测分析精确度。重视城市内涝和山洪灾害综合防御与治理技术，灌区农田涝渍灾害减灾应对技术研究应用，提升区域重大自然灾害综合应对能力。</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增强重大自然灾害监测预警能力。</w:t>
      </w:r>
      <w:r>
        <w:rPr>
          <w:rFonts w:hint="eastAsia" w:asciiTheme="minorEastAsia" w:hAnsiTheme="minorEastAsia" w:cstheme="minorEastAsia"/>
          <w:sz w:val="28"/>
          <w:szCs w:val="28"/>
        </w:rPr>
        <w:t>开展重大自然灾害过程监测技术研究，提升巴彦淖尔市地震预警系统和地震灾害综合数据平台水平。加快建立巴彦淖尔市气象综合观测精细化数值预报业务体系，研究应用新一代天气雷达系统、平流层气象探测技术，开展卫星遥感技术在气象灾害动态监测中的应用。支持开展气象灾害大数据分析、应用和发布共享技术研究，加强防灾减灾科普宣传，支持建设防灾减灾科普示范基地。</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发展公共安全综合保障技术。</w:t>
      </w:r>
      <w:r>
        <w:rPr>
          <w:rFonts w:hint="eastAsia" w:asciiTheme="minorEastAsia" w:hAnsiTheme="minorEastAsia" w:cstheme="minorEastAsia"/>
          <w:sz w:val="28"/>
          <w:szCs w:val="28"/>
        </w:rPr>
        <w:t>围绕国家安全，开展公共安全核心共性技术研究及示范应用，增强公共安全信息集成、综合研判和危机应对能力，提升突发事件处置救援环节科技水平。开展城镇建筑、管网等安全保障共性关键技术集成与应用示范，增强城镇抵御自然灾害、处置突发事件和危机管理能力。重视生产安全保障与重大事故防控技术，突出抓好冶金矿山、工程施工、工业园区等重大事故防控技术集成与应用示范，提升劳动密集型作业场所职业病危害防护、工程施工安全保障、特种设备风险防控技术应用水平。研究应用新一代交通互联控制与识别技术，减少道路事故，提高道路交通科学管理水平。</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提升公共安全智慧管理技术。</w:t>
      </w:r>
      <w:r>
        <w:rPr>
          <w:rFonts w:hint="eastAsia" w:asciiTheme="minorEastAsia" w:hAnsiTheme="minorEastAsia" w:cstheme="minorEastAsia"/>
          <w:sz w:val="28"/>
          <w:szCs w:val="28"/>
        </w:rPr>
        <w:t>加强公共安全与社会治理科技创新，构建社会安全事件全方位获取、全网络汇聚、全维度整合大数据感知采集系统，实现全社会全时空、全实时、全网络数字化报警、管理查询功能。</w:t>
      </w:r>
    </w:p>
    <w:p>
      <w:pPr>
        <w:pStyle w:val="4"/>
        <w:spacing w:after="156" w:line="400" w:lineRule="exact"/>
        <w:ind w:firstLine="0" w:firstLineChars="0"/>
        <w:jc w:val="both"/>
        <w:rPr>
          <w:rFonts w:ascii="黑体" w:hAnsi="黑体" w:eastAsia="黑体" w:cs="黑体"/>
          <w:b w:val="0"/>
          <w:bCs w:val="0"/>
          <w:sz w:val="32"/>
        </w:rPr>
      </w:pPr>
      <w:bookmarkStart w:id="118" w:name="_Toc83540983"/>
      <w:bookmarkStart w:id="119" w:name="_Toc32356"/>
    </w:p>
    <w:p>
      <w:pPr>
        <w:spacing w:line="520" w:lineRule="exact"/>
        <w:jc w:val="center"/>
        <w:rPr>
          <w:rFonts w:ascii="黑体" w:hAnsi="黑体" w:eastAsia="黑体" w:cs="黑体"/>
          <w:sz w:val="36"/>
          <w:szCs w:val="36"/>
        </w:rPr>
      </w:pPr>
      <w:r>
        <w:rPr>
          <w:rFonts w:hint="eastAsia" w:ascii="黑体" w:hAnsi="黑体" w:eastAsia="黑体" w:cs="黑体"/>
          <w:sz w:val="36"/>
          <w:szCs w:val="36"/>
        </w:rPr>
        <w:t>第七篇  加快发展科技服务业</w:t>
      </w:r>
      <w:bookmarkEnd w:id="118"/>
      <w:bookmarkEnd w:id="119"/>
    </w:p>
    <w:p>
      <w:pPr>
        <w:spacing w:line="520" w:lineRule="exact"/>
        <w:rPr>
          <w:rFonts w:ascii="黑体" w:hAnsi="黑体" w:eastAsia="黑体" w:cs="黑体"/>
          <w:sz w:val="30"/>
          <w:szCs w:val="30"/>
        </w:rPr>
      </w:pP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以深化科技体制改革为动力，加快构建链条完整、特色突出、布局合理的科技服务体系，推动科技服务业与新型工业化、农牧业现代化、商贸物流网络化高度融合，向精细化供给和价值链高端延伸。</w:t>
      </w:r>
    </w:p>
    <w:p>
      <w:pPr>
        <w:spacing w:line="520" w:lineRule="exact"/>
        <w:ind w:firstLine="560" w:firstLineChars="200"/>
        <w:rPr>
          <w:rFonts w:asciiTheme="minorEastAsia" w:hAnsiTheme="minorEastAsia" w:cstheme="minorEastAsia"/>
          <w:sz w:val="28"/>
          <w:szCs w:val="28"/>
        </w:rPr>
      </w:pPr>
    </w:p>
    <w:p>
      <w:pPr>
        <w:pStyle w:val="2"/>
      </w:pPr>
    </w:p>
    <w:p>
      <w:pPr>
        <w:spacing w:line="520" w:lineRule="exact"/>
        <w:jc w:val="center"/>
        <w:rPr>
          <w:rFonts w:ascii="黑体" w:hAnsi="黑体" w:eastAsia="黑体" w:cs="黑体"/>
          <w:sz w:val="30"/>
          <w:szCs w:val="30"/>
        </w:rPr>
      </w:pPr>
      <w:bookmarkStart w:id="120" w:name="_Toc2428"/>
      <w:bookmarkStart w:id="121" w:name="_Toc83540984"/>
      <w:r>
        <w:rPr>
          <w:rFonts w:hint="eastAsia" w:ascii="黑体" w:hAnsi="黑体" w:eastAsia="黑体" w:cs="黑体"/>
          <w:sz w:val="32"/>
          <w:szCs w:val="32"/>
        </w:rPr>
        <w:t>第十四章  促进科技服务业创新发展</w:t>
      </w:r>
      <w:bookmarkEnd w:id="120"/>
      <w:bookmarkEnd w:id="121"/>
    </w:p>
    <w:p>
      <w:pPr>
        <w:spacing w:line="520" w:lineRule="exact"/>
        <w:ind w:firstLine="600" w:firstLineChars="200"/>
        <w:rPr>
          <w:rFonts w:ascii="黑体" w:hAnsi="黑体" w:eastAsia="黑体" w:cs="黑体"/>
          <w:sz w:val="30"/>
          <w:szCs w:val="30"/>
        </w:rPr>
      </w:pPr>
      <w:bookmarkStart w:id="122" w:name="_Toc518"/>
      <w:bookmarkStart w:id="123" w:name="_Toc83540985"/>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第一节  提升传统科技服务</w:t>
      </w:r>
      <w:bookmarkEnd w:id="122"/>
      <w:bookmarkEnd w:id="123"/>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搭建互联网科技信息服务平台。</w:t>
      </w:r>
      <w:r>
        <w:rPr>
          <w:rFonts w:hint="eastAsia" w:asciiTheme="minorEastAsia" w:hAnsiTheme="minorEastAsia" w:cstheme="minorEastAsia"/>
          <w:sz w:val="28"/>
          <w:szCs w:val="28"/>
        </w:rPr>
        <w:t>强化科技信息基础设施建设，对接“内蒙古自治区科技创新综合信息服务平台”，推动巴彦淖尔区域平台功能升级，健全完善科技成果、大型科学仪器、专业技术人才等科技服务资源，向社会公众提供便捷高效的科技服务。探索个性化科技服务新模式模式，加快云计算、大数据、物联网、区块链管理等技术在科技信息服务领域中的应用。</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发展技术转移服务。</w:t>
      </w:r>
      <w:r>
        <w:rPr>
          <w:rFonts w:hint="eastAsia" w:asciiTheme="minorEastAsia" w:hAnsiTheme="minorEastAsia" w:cstheme="minorEastAsia"/>
          <w:bCs/>
          <w:sz w:val="28"/>
          <w:szCs w:val="28"/>
        </w:rPr>
        <w:t>充分发挥</w:t>
      </w:r>
      <w:r>
        <w:rPr>
          <w:rFonts w:hint="eastAsia" w:asciiTheme="minorEastAsia" w:hAnsiTheme="minorEastAsia" w:cstheme="minorEastAsia"/>
          <w:sz w:val="28"/>
          <w:szCs w:val="28"/>
        </w:rPr>
        <w:t>全市各级各类科技成果转移转化机构作用，打造面向全产业和市场需求的体系化、专业化技术大市场，对接国家、自治区技术市场一体化布局，加快形成三级联动、一网运行的全市科技成果转移转化服务体系。发展以高新技术产品交易、专利产品交易、科技成果转让、技术中介、人才交流、创业投资等为主营业务的多层次技术交易网络，创新技术交易模式，引导科技成果通过挂牌、拍卖、作价入股等方式进行交易。</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加强创业孵化服务。</w:t>
      </w:r>
      <w:r>
        <w:rPr>
          <w:rFonts w:hint="eastAsia" w:asciiTheme="minorEastAsia" w:hAnsiTheme="minorEastAsia" w:cstheme="minorEastAsia"/>
          <w:sz w:val="28"/>
          <w:szCs w:val="28"/>
        </w:rPr>
        <w:t>实</w:t>
      </w:r>
      <w:r>
        <w:rPr>
          <w:rFonts w:hint="eastAsia" w:asciiTheme="minorEastAsia" w:hAnsiTheme="minorEastAsia" w:cstheme="minorEastAsia"/>
          <w:spacing w:val="-6"/>
          <w:sz w:val="28"/>
          <w:szCs w:val="28"/>
        </w:rPr>
        <w:t>施创新创业孵化机构提升行动。鼓励各类园区搭建创业孵化综合体，为创业者提供“供应链+创投+市场”资源支持。支持建设“创业苗圃+孵化器+加速器”的多层次创业孵化网络，加强“天赋河套”创新孵化中心创业孵化功能，培育壮大创业导师队伍，形成创业者—企业家—天使投资人—创业导师的演进机制</w:t>
      </w:r>
      <w:r>
        <w:rPr>
          <w:rFonts w:hint="eastAsia" w:asciiTheme="minorEastAsia" w:hAnsiTheme="minorEastAsia" w:cstheme="minorEastAsia"/>
          <w:sz w:val="28"/>
          <w:szCs w:val="28"/>
        </w:rPr>
        <w:t>。</w:t>
      </w:r>
    </w:p>
    <w:p>
      <w:pPr>
        <w:spacing w:line="520" w:lineRule="exact"/>
        <w:ind w:firstLine="562" w:firstLineChars="200"/>
        <w:rPr>
          <w:rFonts w:hint="eastAsia" w:asciiTheme="minorEastAsia" w:hAnsiTheme="minorEastAsia" w:cstheme="minorEastAsia"/>
          <w:sz w:val="28"/>
          <w:szCs w:val="28"/>
        </w:rPr>
      </w:pPr>
      <w:r>
        <w:rPr>
          <w:rFonts w:hint="eastAsia" w:asciiTheme="minorEastAsia" w:hAnsiTheme="minorEastAsia" w:cstheme="minorEastAsia"/>
          <w:b/>
          <w:sz w:val="28"/>
          <w:szCs w:val="28"/>
        </w:rPr>
        <w:t>健全科技特派员支持机制。</w:t>
      </w:r>
      <w:r>
        <w:rPr>
          <w:rFonts w:hint="eastAsia" w:asciiTheme="minorEastAsia" w:hAnsiTheme="minorEastAsia" w:eastAsiaTheme="minorEastAsia" w:cstheme="minorEastAsia"/>
          <w:spacing w:val="-6"/>
          <w:sz w:val="28"/>
          <w:szCs w:val="28"/>
        </w:rPr>
        <w:t>深入推进科技特派员创新创业服务行动，健全完善科技特派员创新创业服务平台，支持科技特派员围绕产业发展建设特派员工作站。大力发展法人科技特派员，支持法人特派员领办、创办、协办经济实体和创业合作组织。健全科技特派员支持机制，探索“精准特派，精准对接”新模式，积极创建企业特派员工作站</w:t>
      </w:r>
      <w:r>
        <w:rPr>
          <w:rFonts w:hint="eastAsia" w:asciiTheme="minorEastAsia" w:hAnsiTheme="minorEastAsia" w:cstheme="minorEastAsia"/>
          <w:sz w:val="28"/>
          <w:szCs w:val="28"/>
        </w:rPr>
        <w:t>。</w:t>
      </w:r>
    </w:p>
    <w:p>
      <w:pPr>
        <w:spacing w:line="520" w:lineRule="exact"/>
        <w:ind w:firstLine="562"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b/>
          <w:sz w:val="28"/>
          <w:szCs w:val="28"/>
        </w:rPr>
        <w:t>重视知识产权服务。</w:t>
      </w:r>
      <w:r>
        <w:rPr>
          <w:rFonts w:hint="eastAsia" w:asciiTheme="minorEastAsia" w:hAnsiTheme="minorEastAsia" w:eastAsiaTheme="minorEastAsia" w:cstheme="minorEastAsia"/>
          <w:kern w:val="2"/>
          <w:sz w:val="28"/>
          <w:szCs w:val="28"/>
          <w:lang w:val="en-US" w:eastAsia="zh-CN" w:bidi="ar-SA"/>
        </w:rPr>
        <w:t>注重知识产权提质增效，促进商标、专利、地理标志、版权数量较快增长。加大知识产权公共服务投入，完善知识产权公共服务体系，合理布局全市知识产权公共服务点，充分发挥巴彦淖尔知识产权公共服务点窗口作用，实现知识产权检索咨询、维权援助等服务全覆盖。深入开展知识产权质押融资入园惠企行动，帮助企业申请知识产权质押融资贷款，有效缓解中小微企业融资难融资贵问题。加大知识产保护力度，开展日常执法、专项执法，严厉打击知识产权侵权假冒行为。加强知识产权宣传和培训，组织办好知识产权宣传周、专利周等主题宣传活动，营造公平竞争、诚信经营、创新发展的良好营商环境。</w:t>
      </w:r>
    </w:p>
    <w:p>
      <w:pPr>
        <w:spacing w:line="520" w:lineRule="exact"/>
        <w:ind w:firstLine="600" w:firstLineChars="200"/>
        <w:rPr>
          <w:rFonts w:ascii="黑体" w:hAnsi="黑体" w:eastAsia="黑体" w:cs="黑体"/>
          <w:sz w:val="30"/>
          <w:szCs w:val="30"/>
        </w:rPr>
      </w:pPr>
      <w:bookmarkStart w:id="124" w:name="_Toc16226"/>
      <w:bookmarkStart w:id="125" w:name="_Toc83540986"/>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培育科技服务新业态</w:t>
      </w:r>
      <w:bookmarkEnd w:id="124"/>
      <w:bookmarkEnd w:id="125"/>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发展科技服务“互联网+新业态”。</w:t>
      </w:r>
      <w:r>
        <w:rPr>
          <w:rFonts w:hint="eastAsia" w:asciiTheme="minorEastAsia" w:hAnsiTheme="minorEastAsia" w:cstheme="minorEastAsia"/>
          <w:sz w:val="28"/>
          <w:szCs w:val="28"/>
        </w:rPr>
        <w:t>促进物联网、大数据、云计算、智能交易等新一代信息技术与科技服务业融合，开展“互联网+科技服务”。发展农村牧区互联网新业态，加强电子商务新技术集成应用，推进重要农产品全产业链数字化转型。</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开展新型检验检测服务。</w:t>
      </w:r>
      <w:r>
        <w:rPr>
          <w:rFonts w:hint="eastAsia" w:asciiTheme="minorEastAsia" w:hAnsiTheme="minorEastAsia" w:cstheme="minorEastAsia"/>
          <w:sz w:val="28"/>
          <w:szCs w:val="28"/>
        </w:rPr>
        <w:t>围绕重点产业搭建一批融合检验检测、分析试验、标准研制、培训咨询功能的检验检测公共服务平台。鼓励优势企业建立自主技术与产品检验检测标准。探索检验检测服务供需对接模式，开展重点领域产品检验检测一站式服务与示范。</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支持数字生活与健康服务。</w:t>
      </w:r>
      <w:r>
        <w:rPr>
          <w:rFonts w:hint="eastAsia" w:asciiTheme="minorEastAsia" w:hAnsiTheme="minorEastAsia" w:cstheme="minorEastAsia"/>
          <w:sz w:val="28"/>
          <w:szCs w:val="28"/>
        </w:rPr>
        <w:t>开展数字家庭/社区网络信息共享及网络互通技术集成应用，推广线上线下相结合的社区服务新模式。支持移动互联网、物联网、云计算、可穿戴设备的新技术面向医疗健康的研究应用。鼓励有资质的第三方机构建设医学检测中心、健康管理中心、医学影像中心，搭建远程医疗服务共享平台，探索慢病管理、疑难病联合会诊的网上服务新模式。</w:t>
      </w:r>
    </w:p>
    <w:p>
      <w:pPr>
        <w:spacing w:line="520" w:lineRule="exact"/>
        <w:ind w:firstLine="560" w:firstLineChars="200"/>
        <w:rPr>
          <w:rFonts w:asciiTheme="minorEastAsia" w:hAnsiTheme="minorEastAsia" w:cstheme="minorEastAsia"/>
          <w:sz w:val="28"/>
          <w:szCs w:val="28"/>
        </w:rPr>
      </w:pPr>
    </w:p>
    <w:p>
      <w:pPr>
        <w:pStyle w:val="2"/>
      </w:pPr>
    </w:p>
    <w:p>
      <w:pPr>
        <w:spacing w:line="520" w:lineRule="exact"/>
        <w:jc w:val="center"/>
        <w:rPr>
          <w:rFonts w:ascii="黑体" w:hAnsi="黑体" w:eastAsia="黑体" w:cs="黑体"/>
          <w:sz w:val="32"/>
          <w:szCs w:val="32"/>
        </w:rPr>
      </w:pPr>
      <w:bookmarkStart w:id="126" w:name="_Toc83540987"/>
      <w:bookmarkStart w:id="127" w:name="_Toc29972"/>
      <w:r>
        <w:rPr>
          <w:rFonts w:hint="eastAsia" w:ascii="黑体" w:hAnsi="黑体" w:eastAsia="黑体" w:cs="黑体"/>
          <w:sz w:val="32"/>
          <w:szCs w:val="32"/>
        </w:rPr>
        <w:t>第十五章  深入开展大众创业万众创新</w:t>
      </w:r>
      <w:bookmarkEnd w:id="126"/>
      <w:bookmarkEnd w:id="127"/>
    </w:p>
    <w:p>
      <w:pPr>
        <w:spacing w:line="520" w:lineRule="exact"/>
        <w:ind w:firstLine="600" w:firstLineChars="200"/>
        <w:rPr>
          <w:rFonts w:hint="eastAsia" w:ascii="黑体" w:hAnsi="黑体" w:eastAsia="黑体" w:cs="黑体"/>
          <w:sz w:val="30"/>
          <w:szCs w:val="30"/>
        </w:rPr>
      </w:pPr>
      <w:bookmarkStart w:id="128" w:name="_Toc83540988"/>
      <w:bookmarkStart w:id="129" w:name="_Toc8863"/>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第一节  培育壮大创新创业载体</w:t>
      </w:r>
      <w:bookmarkEnd w:id="128"/>
      <w:bookmarkEnd w:id="129"/>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营造创新创业良好发展环境。</w:t>
      </w:r>
      <w:r>
        <w:rPr>
          <w:rFonts w:hint="eastAsia" w:asciiTheme="minorEastAsia" w:hAnsiTheme="minorEastAsia" w:cstheme="minorEastAsia"/>
          <w:sz w:val="28"/>
          <w:szCs w:val="28"/>
        </w:rPr>
        <w:t>顺应大众创业、万众创新新趋势，加强创新创业载体建设，完善创新创业服务平台，培育大众创业万众创新的文化生态。鼓励农高区、经济技术开发区等创业孵化集聚区，通过盘活园区、企业办公楼宇、闲置厂房和低效利用土地等，打造一批创客服务平台和创客空间。</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发展特色众创空间。</w:t>
      </w:r>
      <w:r>
        <w:rPr>
          <w:rFonts w:hint="eastAsia" w:asciiTheme="minorEastAsia" w:hAnsiTheme="minorEastAsia" w:cstheme="minorEastAsia"/>
          <w:sz w:val="28"/>
          <w:szCs w:val="28"/>
        </w:rPr>
        <w:t>鼓励科技园区</w:t>
      </w:r>
      <w:r>
        <w:rPr>
          <w:rFonts w:hint="eastAsia" w:asciiTheme="minorEastAsia" w:hAnsiTheme="minorEastAsia" w:cstheme="minorEastAsia"/>
          <w:spacing w:val="-6"/>
          <w:sz w:val="28"/>
          <w:szCs w:val="28"/>
        </w:rPr>
        <w:t>、科研机构及各类创新平台建设以成果转化为核心业态的众创空间，增加源头技术创新的有效供给。支持龙头企业围绕主营业务方向建设众创空间、创新工场等，形成与中小微企业、科研机构和各类创客群体有机融合的产业创新生态群落。</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发展务实（优质）星创天地。</w:t>
      </w:r>
      <w:r>
        <w:rPr>
          <w:rFonts w:hint="eastAsia" w:asciiTheme="minorEastAsia" w:hAnsiTheme="minorEastAsia" w:cstheme="minorEastAsia"/>
          <w:sz w:val="28"/>
          <w:szCs w:val="28"/>
        </w:rPr>
        <w:t>鼓励支持农业科技园区、“天赋河套”创新孵化中心、科技特派员创业基地、科技小院等，建设一批高效农牧业星创天地，面向科技特派员、大学毕业生、返乡农牧民、职业农牧民等开展科技示范、技术集成、创意汇集、融资孵化等创新创业服务。支持星创天地打造“互联网+高端农商平台”。鼓励星创天地为创业者提供量身定制的组合式创业服务，探索农牧业新业态星创天地建设模式。</w:t>
      </w:r>
    </w:p>
    <w:p>
      <w:pPr>
        <w:spacing w:line="520" w:lineRule="exact"/>
        <w:ind w:firstLine="600" w:firstLineChars="200"/>
        <w:rPr>
          <w:rFonts w:ascii="黑体" w:hAnsi="黑体" w:eastAsia="黑体" w:cs="黑体"/>
          <w:sz w:val="30"/>
          <w:szCs w:val="30"/>
        </w:rPr>
      </w:pPr>
      <w:bookmarkStart w:id="130" w:name="_Toc9804"/>
      <w:bookmarkStart w:id="131" w:name="_Toc83540989"/>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打造双创生态圈</w:t>
      </w:r>
      <w:bookmarkEnd w:id="130"/>
      <w:bookmarkEnd w:id="131"/>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增强创新创业发展实效。</w:t>
      </w:r>
      <w:r>
        <w:rPr>
          <w:rFonts w:hint="eastAsia" w:asciiTheme="minorEastAsia" w:hAnsiTheme="minorEastAsia" w:cstheme="minorEastAsia"/>
          <w:sz w:val="28"/>
          <w:szCs w:val="28"/>
        </w:rPr>
        <w:t>优化创新创业生态环境，强化政策供给，充分释放全社会创新创业潜能。引导创新创业群体多元化、特色化、专业化发展，鼓励科技人员、大中专毕业生、农民工、退伍军人等有意愿、有能力的群体更多投向创新创业。支持发展众创、众包、众扶、众筹支撑平台。鼓励企业开展各类“双创”活动，推广“双创”典型人物和案例，推动创新精神、企业家精神和工匠精神融合，集众智汇众力打造“双创”生态圈。</w:t>
      </w:r>
    </w:p>
    <w:p>
      <w:pPr>
        <w:spacing w:line="520" w:lineRule="exact"/>
        <w:rPr>
          <w:rFonts w:ascii="黑体" w:hAnsi="黑体" w:eastAsia="黑体" w:cs="黑体"/>
          <w:sz w:val="30"/>
          <w:szCs w:val="30"/>
        </w:rPr>
      </w:pPr>
      <w:bookmarkStart w:id="132" w:name="_Toc19911"/>
      <w:bookmarkStart w:id="133" w:name="_Toc83540990"/>
    </w:p>
    <w:p>
      <w:pPr>
        <w:spacing w:line="520" w:lineRule="exact"/>
        <w:jc w:val="center"/>
        <w:rPr>
          <w:rFonts w:ascii="黑体" w:hAnsi="黑体" w:eastAsia="黑体" w:cs="黑体"/>
          <w:sz w:val="36"/>
          <w:szCs w:val="36"/>
        </w:rPr>
      </w:pPr>
      <w:r>
        <w:rPr>
          <w:rFonts w:hint="eastAsia" w:ascii="黑体" w:hAnsi="黑体" w:eastAsia="黑体" w:cs="黑体"/>
          <w:sz w:val="36"/>
          <w:szCs w:val="36"/>
        </w:rPr>
        <w:t>第八篇  深化改革开放，完善政策体系</w:t>
      </w:r>
      <w:bookmarkEnd w:id="132"/>
      <w:bookmarkEnd w:id="133"/>
    </w:p>
    <w:p>
      <w:pPr>
        <w:spacing w:line="520" w:lineRule="exact"/>
        <w:rPr>
          <w:rFonts w:ascii="黑体" w:hAnsi="黑体" w:eastAsia="黑体" w:cs="黑体"/>
          <w:sz w:val="30"/>
          <w:szCs w:val="30"/>
        </w:rPr>
      </w:pPr>
    </w:p>
    <w:p>
      <w:pPr>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积极贯彻落实国家、自治区关于科技体制改革的系列决策部署，全面释放改革红利，激发创新主体潜能，解决好科技体制机制中存在的突出矛盾和问题，构建良好政策环境，补齐必要配套措施，通过创新环境优化提高科技系统运行效率。</w:t>
      </w:r>
    </w:p>
    <w:p>
      <w:pPr>
        <w:spacing w:line="520" w:lineRule="exact"/>
        <w:ind w:firstLine="560" w:firstLineChars="200"/>
        <w:rPr>
          <w:rFonts w:asciiTheme="minorEastAsia" w:hAnsiTheme="minorEastAsia" w:cstheme="minorEastAsia"/>
          <w:sz w:val="28"/>
          <w:szCs w:val="28"/>
        </w:rPr>
      </w:pPr>
    </w:p>
    <w:p>
      <w:pPr>
        <w:spacing w:line="520" w:lineRule="exact"/>
        <w:jc w:val="center"/>
        <w:rPr>
          <w:rFonts w:ascii="黑体" w:hAnsi="黑体" w:eastAsia="黑体" w:cs="黑体"/>
          <w:sz w:val="32"/>
          <w:szCs w:val="32"/>
        </w:rPr>
      </w:pPr>
      <w:bookmarkStart w:id="134" w:name="_Toc31104"/>
      <w:bookmarkStart w:id="135" w:name="_Toc83540991"/>
      <w:r>
        <w:rPr>
          <w:rFonts w:hint="eastAsia" w:ascii="黑体" w:hAnsi="黑体" w:eastAsia="黑体" w:cs="黑体"/>
          <w:sz w:val="32"/>
          <w:szCs w:val="32"/>
        </w:rPr>
        <w:t>第十六章  稳妥推进科技体制机制改革</w:t>
      </w:r>
      <w:bookmarkEnd w:id="134"/>
      <w:bookmarkEnd w:id="135"/>
    </w:p>
    <w:p>
      <w:pPr>
        <w:spacing w:line="520" w:lineRule="exact"/>
        <w:rPr>
          <w:rFonts w:ascii="黑体" w:hAnsi="黑体" w:eastAsia="黑体" w:cs="黑体"/>
          <w:sz w:val="30"/>
          <w:szCs w:val="30"/>
        </w:rPr>
      </w:pPr>
    </w:p>
    <w:p>
      <w:pPr>
        <w:spacing w:line="520" w:lineRule="exact"/>
        <w:ind w:firstLine="600" w:firstLineChars="200"/>
        <w:rPr>
          <w:rFonts w:ascii="黑体" w:hAnsi="黑体" w:eastAsia="黑体" w:cs="黑体"/>
          <w:sz w:val="30"/>
          <w:szCs w:val="30"/>
        </w:rPr>
      </w:pPr>
      <w:bookmarkStart w:id="136" w:name="_Toc8907"/>
      <w:bookmarkStart w:id="137" w:name="_Toc83540992"/>
      <w:r>
        <w:rPr>
          <w:rFonts w:hint="eastAsia" w:ascii="黑体" w:hAnsi="黑体" w:eastAsia="黑体" w:cs="黑体"/>
          <w:sz w:val="30"/>
          <w:szCs w:val="30"/>
        </w:rPr>
        <w:t>第一节  创新科技计划组织与管理</w:t>
      </w:r>
      <w:bookmarkEnd w:id="136"/>
      <w:bookmarkEnd w:id="137"/>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提升体系化能力。</w:t>
      </w:r>
      <w:r>
        <w:rPr>
          <w:rFonts w:hint="eastAsia" w:asciiTheme="minorEastAsia" w:hAnsiTheme="minorEastAsia" w:cstheme="minorEastAsia"/>
          <w:sz w:val="28"/>
          <w:szCs w:val="28"/>
        </w:rPr>
        <w:t>持续深化科技领域“放管服”改革，主动顺应创新主体多元、活动多样、路径多变新趋势，补齐体系化能力短板，探索和优化决策指挥、组织管理、人才激励、环境优化等方面体制机制创新，强化跨部门、跨学科、跨地区力量和资源整合，健全科技创新统筹协调机制和决策高效、响应快速的扁平化管理机制，推动科技创新资源配置进一步体系化、建制化、协同化。</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优化重大科技任务组织实施机制。</w:t>
      </w:r>
      <w:r>
        <w:rPr>
          <w:rFonts w:hint="eastAsia" w:asciiTheme="minorEastAsia" w:hAnsiTheme="minorEastAsia" w:cstheme="minorEastAsia"/>
          <w:sz w:val="28"/>
          <w:szCs w:val="28"/>
        </w:rPr>
        <w:t>强化科技规划对科技任务布局和资源配置的导向作用，分类推进重大科技任务研发管理，探索推进重大战略需求任务“揭榜挂帅”管理方式。改革完善现有科研任务管理体制，赋予科研领军人才更大技术路线决策权和经费使用权，允许科研人员在不改变研究方向和降低考核指标的前提下，调整研究方案和技术路线。完善科研计划绩效评估制度。</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加强科技计划项目管理。</w:t>
      </w:r>
      <w:r>
        <w:rPr>
          <w:rFonts w:hint="eastAsia" w:asciiTheme="minorEastAsia" w:hAnsiTheme="minorEastAsia" w:cstheme="minorEastAsia"/>
          <w:sz w:val="28"/>
          <w:szCs w:val="28"/>
        </w:rPr>
        <w:t>建立面向全市经济社会绿色高质量发展的科技需求征集与项目形成机制。健全完善科技计划项目储备库，建立健全科技需求常年征集、定期筛选、随时入库工作机制。改革完善科技计划项目管理体制和绩效评价机制，健全科技计划项目管理办法，建立健全科研项目管理诚信体系。认真执行国家、自治区关于财政科研项目资金管理的有关规定，提高科研项目资金使用效率。建立科研财务单独核算制度，强化项目承担单位法人责任，保证资金使用安全规范有效。</w:t>
      </w:r>
    </w:p>
    <w:p>
      <w:pPr>
        <w:spacing w:line="520" w:lineRule="exact"/>
        <w:ind w:firstLine="600" w:firstLineChars="200"/>
        <w:rPr>
          <w:rFonts w:ascii="黑体" w:hAnsi="黑体" w:eastAsia="黑体" w:cs="黑体"/>
          <w:sz w:val="30"/>
          <w:szCs w:val="30"/>
        </w:rPr>
      </w:pPr>
      <w:bookmarkStart w:id="138" w:name="_Toc10419"/>
      <w:bookmarkStart w:id="139" w:name="_Toc83540993"/>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深化科研机构改革</w:t>
      </w:r>
      <w:bookmarkEnd w:id="138"/>
      <w:bookmarkEnd w:id="139"/>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推进现代科研院所制度建设。</w:t>
      </w:r>
      <w:r>
        <w:rPr>
          <w:rFonts w:hint="eastAsia" w:asciiTheme="minorEastAsia" w:hAnsiTheme="minorEastAsia" w:cstheme="minorEastAsia"/>
          <w:sz w:val="28"/>
          <w:szCs w:val="28"/>
        </w:rPr>
        <w:t>改革完善科研机构职称评定、选人用人、成果处置、薪酬分配制度，建立以创新绩效为核心的综合评估机制。强化公益科研的创新条件，保障对现有研究领域、优势学科、前沿技术储备的项目支撑。</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发展新型特色研发机构。</w:t>
      </w:r>
      <w:r>
        <w:rPr>
          <w:rFonts w:hint="eastAsia" w:asciiTheme="minorEastAsia" w:hAnsiTheme="minorEastAsia" w:cstheme="minorEastAsia"/>
          <w:bCs/>
          <w:sz w:val="28"/>
          <w:szCs w:val="28"/>
        </w:rPr>
        <w:t>支持新型研发机构建设发展，</w:t>
      </w:r>
      <w:r>
        <w:rPr>
          <w:rFonts w:hint="eastAsia" w:asciiTheme="minorEastAsia" w:hAnsiTheme="minorEastAsia" w:cstheme="minorEastAsia"/>
          <w:sz w:val="28"/>
          <w:szCs w:val="28"/>
        </w:rPr>
        <w:t>按照市场化机制，围绕重点产业创新需求，建设一批特色产业技术研究院、创新联合体等新型研发机构和转化平台，吸引国内一流高校、科研院所、知名企业到我市建立新型研发机构。鼓励新型研发机构通过委托研发、技术入股等形式开展成果转化、产业链创新和重大产品研发。鼓励各类科研机构积极承担自治区企业重点实验室、技术创新中心建设任务,促进各类主体协同创新。</w:t>
      </w:r>
    </w:p>
    <w:p>
      <w:pPr>
        <w:spacing w:line="520" w:lineRule="exact"/>
        <w:ind w:firstLine="600" w:firstLineChars="200"/>
        <w:rPr>
          <w:rFonts w:ascii="黑体" w:hAnsi="黑体" w:eastAsia="黑体" w:cs="黑体"/>
          <w:sz w:val="30"/>
          <w:szCs w:val="30"/>
        </w:rPr>
      </w:pPr>
      <w:bookmarkStart w:id="140" w:name="_Toc83540994"/>
      <w:bookmarkStart w:id="141" w:name="_Toc15380"/>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第三节  改进科技成果转移转化</w:t>
      </w:r>
      <w:bookmarkEnd w:id="140"/>
      <w:bookmarkEnd w:id="141"/>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改革科技成果权益管理。</w:t>
      </w:r>
      <w:r>
        <w:rPr>
          <w:rFonts w:hint="eastAsia" w:asciiTheme="minorEastAsia" w:hAnsiTheme="minorEastAsia" w:cstheme="minorEastAsia"/>
          <w:bCs/>
          <w:spacing w:val="-6"/>
          <w:sz w:val="28"/>
          <w:szCs w:val="28"/>
        </w:rPr>
        <w:t>认真贯彻执行国家、自治区关于科技成果转移转化技术权益有关法律法规和政策，改革完善科技成果收益分配机制，支持</w:t>
      </w:r>
      <w:r>
        <w:rPr>
          <w:rFonts w:hint="eastAsia" w:asciiTheme="minorEastAsia" w:hAnsiTheme="minorEastAsia" w:cstheme="minorEastAsia"/>
          <w:spacing w:val="-6"/>
          <w:sz w:val="28"/>
          <w:szCs w:val="28"/>
        </w:rPr>
        <w:t>科研单位依法依规自主决定科研成果转移转化、收益分配。支持科技人员在完成本职工作前提下兼职从事科技成果转化活动。</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健全科技成果转化职能。</w:t>
      </w:r>
      <w:r>
        <w:rPr>
          <w:rFonts w:hint="eastAsia" w:asciiTheme="minorEastAsia" w:hAnsiTheme="minorEastAsia" w:cstheme="minorEastAsia"/>
          <w:sz w:val="28"/>
          <w:szCs w:val="28"/>
        </w:rPr>
        <w:t>改革完善科技成果转化工作机制，鼓励建立专业化科技成果评价机构，建立健全应用类科技成果转移转化项目库，开展常态化科技成果转化技术对接活动。健全完善科技成果转移转化平台、质押融资、技术交易后补助等促进转化机制。</w:t>
      </w:r>
    </w:p>
    <w:p>
      <w:pPr>
        <w:spacing w:line="520" w:lineRule="exact"/>
        <w:ind w:firstLine="560" w:firstLineChars="200"/>
        <w:rPr>
          <w:rFonts w:asciiTheme="minorEastAsia" w:hAnsiTheme="minorEastAsia" w:cstheme="minorEastAsia"/>
          <w:sz w:val="28"/>
          <w:szCs w:val="28"/>
        </w:rPr>
      </w:pPr>
    </w:p>
    <w:p>
      <w:pPr>
        <w:spacing w:line="520" w:lineRule="exact"/>
        <w:jc w:val="center"/>
        <w:rPr>
          <w:rFonts w:ascii="黑体" w:hAnsi="黑体" w:eastAsia="黑体" w:cs="黑体"/>
          <w:sz w:val="32"/>
          <w:szCs w:val="32"/>
        </w:rPr>
      </w:pPr>
      <w:bookmarkStart w:id="142" w:name="_Toc83540995"/>
      <w:bookmarkStart w:id="143" w:name="_Toc21335"/>
      <w:r>
        <w:rPr>
          <w:rFonts w:hint="eastAsia" w:ascii="黑体" w:hAnsi="黑体" w:eastAsia="黑体" w:cs="黑体"/>
          <w:sz w:val="32"/>
          <w:szCs w:val="32"/>
        </w:rPr>
        <w:t>第十七章  完善创新人才发展机制</w:t>
      </w:r>
      <w:bookmarkEnd w:id="142"/>
      <w:bookmarkEnd w:id="143"/>
    </w:p>
    <w:p>
      <w:pPr>
        <w:spacing w:line="520" w:lineRule="exact"/>
        <w:ind w:firstLine="600" w:firstLineChars="200"/>
        <w:rPr>
          <w:rFonts w:ascii="黑体" w:hAnsi="黑体" w:eastAsia="黑体" w:cs="黑体"/>
          <w:sz w:val="30"/>
          <w:szCs w:val="30"/>
        </w:rPr>
      </w:pPr>
    </w:p>
    <w:p>
      <w:pPr>
        <w:spacing w:line="520" w:lineRule="exact"/>
        <w:ind w:firstLine="600" w:firstLineChars="200"/>
        <w:rPr>
          <w:rFonts w:ascii="黑体" w:hAnsi="黑体" w:eastAsia="黑体" w:cs="黑体"/>
          <w:sz w:val="30"/>
          <w:szCs w:val="30"/>
        </w:rPr>
      </w:pPr>
      <w:bookmarkStart w:id="144" w:name="_Toc83540996"/>
      <w:bookmarkStart w:id="145" w:name="_Toc5962"/>
      <w:r>
        <w:rPr>
          <w:rFonts w:hint="eastAsia" w:ascii="黑体" w:hAnsi="黑体" w:eastAsia="黑体" w:cs="黑体"/>
          <w:sz w:val="30"/>
          <w:szCs w:val="30"/>
        </w:rPr>
        <w:t>第一节  激发科技人才创新活力</w:t>
      </w:r>
      <w:bookmarkEnd w:id="144"/>
      <w:bookmarkEnd w:id="145"/>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完善人才分类评价机制。</w:t>
      </w:r>
      <w:r>
        <w:rPr>
          <w:rFonts w:hint="eastAsia" w:asciiTheme="minorEastAsia" w:hAnsiTheme="minorEastAsia" w:cstheme="minorEastAsia"/>
          <w:sz w:val="28"/>
          <w:szCs w:val="28"/>
        </w:rPr>
        <w:t>深化科技人才评价制度改革，确立以质量、贡献、绩效为核心的评价导向，树立“尊重个性、以人为本”的人才使用导向和评价方法。推行代表性成果评价制度，强化成果贡献评估。突出用人主体在各类评审评价中的主导作用，减少不必要的政府性评价活动。</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健全以增加知识价值为导向的收入分配机制。</w:t>
      </w:r>
      <w:r>
        <w:rPr>
          <w:rFonts w:hint="eastAsia" w:asciiTheme="minorEastAsia" w:hAnsiTheme="minorEastAsia" w:cstheme="minorEastAsia"/>
          <w:sz w:val="28"/>
          <w:szCs w:val="28"/>
        </w:rPr>
        <w:t>建立科研单位绩效工资总量正常增长机制，重点向关键岗位、业务骨干和突出贡献人员倾斜，探索对科研人员实行以绩定酬分配激励。鼓励建立急需紧缺全时全职高层次人员或重大任务团队负责人实行协议工资、年薪制或项目工资等多种分配制度。允许科研人员兼职取得合法报酬。</w:t>
      </w:r>
    </w:p>
    <w:p>
      <w:pPr>
        <w:spacing w:line="520" w:lineRule="exact"/>
        <w:ind w:firstLine="600" w:firstLineChars="200"/>
        <w:rPr>
          <w:rFonts w:ascii="黑体" w:hAnsi="黑体" w:eastAsia="黑体" w:cs="黑体"/>
          <w:sz w:val="30"/>
          <w:szCs w:val="30"/>
        </w:rPr>
      </w:pPr>
      <w:bookmarkStart w:id="146" w:name="_Toc29804"/>
      <w:bookmarkStart w:id="147" w:name="_Toc83540997"/>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强化创新人才培养机制</w:t>
      </w:r>
      <w:bookmarkEnd w:id="146"/>
      <w:bookmarkEnd w:id="147"/>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改进创新型人才培养支持方式。</w:t>
      </w:r>
      <w:r>
        <w:rPr>
          <w:rFonts w:hint="eastAsia" w:asciiTheme="minorEastAsia" w:hAnsiTheme="minorEastAsia" w:cstheme="minorEastAsia"/>
          <w:sz w:val="28"/>
          <w:szCs w:val="28"/>
        </w:rPr>
        <w:t>创新高端人才支持方式，按照“项目—平台—人才”一体化原则，推动科技人才工程与各类项目、平台、基地计划精准对接。建立应用基础研究人才和高级技能人才培养长期稳定支持机制，鼓励科技人员自主选择科研方向，组建科研团队，开展原始性基础研究和面向需求的应用研究。支持中青年科技人才积极参与或独立主持各级各类科技项目，鼓励中青年科技人才深入生产一线开展创新实践。</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加大开放灵活引才力度。</w:t>
      </w:r>
      <w:r>
        <w:rPr>
          <w:rFonts w:hint="eastAsia" w:asciiTheme="minorEastAsia" w:hAnsiTheme="minorEastAsia" w:cstheme="minorEastAsia"/>
          <w:sz w:val="28"/>
          <w:szCs w:val="28"/>
        </w:rPr>
        <w:t>衔接自治区高层次创新人才引进计划、柔性引才计划，加强与京津冀、呼包鄂乌地区人才对接合作，参与建设“人才飞地”，推广顾问指导、兼职服务、“候鸟式”聘任等方式，开辟高端人才引进绿色通道。支持企业建立院士专家工作站。发挥高层次人才核心作用，加大扶持培育有科研实力和带动能力的创新团队，为“高精尖缺”科技人才创造良好的创新环境。</w:t>
      </w:r>
    </w:p>
    <w:p>
      <w:pPr>
        <w:spacing w:line="520" w:lineRule="exact"/>
        <w:ind w:firstLine="560" w:firstLineChars="200"/>
        <w:rPr>
          <w:rFonts w:asciiTheme="minorEastAsia" w:hAnsiTheme="minorEastAsia" w:cstheme="minorEastAsia"/>
          <w:sz w:val="28"/>
          <w:szCs w:val="28"/>
        </w:rPr>
      </w:pPr>
    </w:p>
    <w:p>
      <w:pPr>
        <w:spacing w:line="520" w:lineRule="exact"/>
        <w:jc w:val="center"/>
        <w:rPr>
          <w:rFonts w:ascii="黑体" w:hAnsi="黑体" w:eastAsia="黑体" w:cs="黑体"/>
          <w:sz w:val="32"/>
          <w:szCs w:val="32"/>
        </w:rPr>
      </w:pPr>
      <w:bookmarkStart w:id="148" w:name="_Toc83540998"/>
      <w:bookmarkStart w:id="149" w:name="_Toc20352"/>
      <w:r>
        <w:rPr>
          <w:rFonts w:hint="eastAsia" w:ascii="黑体" w:hAnsi="黑体" w:eastAsia="黑体" w:cs="黑体"/>
          <w:sz w:val="32"/>
          <w:szCs w:val="32"/>
        </w:rPr>
        <w:t>第十八章  推动国内外科技合作跃上新高度</w:t>
      </w:r>
      <w:bookmarkEnd w:id="148"/>
      <w:bookmarkEnd w:id="149"/>
    </w:p>
    <w:p>
      <w:pPr>
        <w:spacing w:line="520" w:lineRule="exact"/>
        <w:ind w:firstLine="600" w:firstLineChars="200"/>
        <w:rPr>
          <w:rFonts w:ascii="黑体" w:hAnsi="黑体" w:eastAsia="黑体" w:cs="黑体"/>
          <w:sz w:val="30"/>
          <w:szCs w:val="30"/>
        </w:rPr>
      </w:pPr>
      <w:bookmarkStart w:id="150" w:name="_Toc24198"/>
      <w:bookmarkStart w:id="151" w:name="_Toc83540999"/>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第一节  以科技项目为牵引，开放合作搞创新</w:t>
      </w:r>
      <w:bookmarkEnd w:id="150"/>
      <w:bookmarkEnd w:id="151"/>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大力实施“科技兴蒙”行动。</w:t>
      </w:r>
      <w:r>
        <w:rPr>
          <w:rFonts w:hint="eastAsia" w:asciiTheme="minorEastAsia" w:hAnsiTheme="minorEastAsia" w:cstheme="minorEastAsia"/>
          <w:sz w:val="28"/>
          <w:szCs w:val="28"/>
        </w:rPr>
        <w:t>聚焦我市经济社会发展重大科技需求，健全完善推进“科技兴蒙”行动政策措施，全面深化“4+8+N”合作主体供需对接，贯彻落实好支持“科技兴蒙”行动相关政策措施，扎实推进《巴彦淖尔市科技创新十大行动（2020—2022）》，促进与发达地区创新联动，在联合实施科技攻关、联合建设创新平台、联合共建科技园区，联合建立公共服务机构、培育引进科技型企业、引进高层次创新人才及团队、引进转化应用科技成果等方面落地见效。</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打造“科创中国”巴彦淖尔样板。</w:t>
      </w:r>
      <w:r>
        <w:rPr>
          <w:rFonts w:hint="eastAsia" w:asciiTheme="minorEastAsia" w:hAnsiTheme="minorEastAsia" w:cstheme="minorEastAsia"/>
          <w:sz w:val="28"/>
          <w:szCs w:val="28"/>
        </w:rPr>
        <w:t>充分发挥国家、自治区和我市科协组织资源优势，深入推进“科创中国”试点建设。健全完善需求库、项目库、人才库“三库”资源，精准对接我市主导产业技术需求，按需组织一流成果和一线人才，推动创新资源下沉，打通科技创新和产业融合通道，支持三级学会联合智库开展科技进园区、进企业活动和长效服务；引导中科院、工程院、企业学会围绕我市建设“两个基地”、“四个集群”搭建科研和融合发展平台，推动更多技术、项目和创新资源与我市对接整合，优化落地。</w:t>
      </w:r>
    </w:p>
    <w:p>
      <w:pPr>
        <w:spacing w:line="520" w:lineRule="exact"/>
        <w:ind w:firstLine="600" w:firstLineChars="200"/>
        <w:rPr>
          <w:rFonts w:ascii="黑体" w:hAnsi="黑体" w:eastAsia="黑体" w:cs="黑体"/>
          <w:sz w:val="30"/>
          <w:szCs w:val="30"/>
        </w:rPr>
      </w:pPr>
      <w:bookmarkStart w:id="152" w:name="_Toc10656"/>
      <w:bookmarkStart w:id="153" w:name="_Toc83541000"/>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多方位开展国内外科技合作</w:t>
      </w:r>
      <w:bookmarkEnd w:id="152"/>
      <w:bookmarkEnd w:id="153"/>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积极开展区内科技合作。</w:t>
      </w:r>
      <w:r>
        <w:rPr>
          <w:rFonts w:hint="eastAsia" w:asciiTheme="minorEastAsia" w:hAnsiTheme="minorEastAsia" w:cstheme="minorEastAsia"/>
          <w:sz w:val="28"/>
          <w:szCs w:val="28"/>
        </w:rPr>
        <w:t>全面深化厅市会商，争取自治区重大创新布局向我市延伸，引导自治区科技重大专项和重要科技基础设施落户巴彦淖尔。鼓励支持我市企业，科研机构和高校围绕重点特色产业科技需求与自治区高等院校、科研院所、行业领军企业建立广泛合作关系，共同推进经济社会绿色高质量发展。</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构建国内科技合作新格局。</w:t>
      </w:r>
      <w:r>
        <w:rPr>
          <w:rFonts w:hint="eastAsia" w:asciiTheme="minorEastAsia" w:hAnsiTheme="minorEastAsia" w:cstheme="minorEastAsia"/>
          <w:sz w:val="28"/>
          <w:szCs w:val="28"/>
        </w:rPr>
        <w:t>充分利用国内先进科技资源，不断深化国内科技合作。加强与国内一流高校和科研机构建立长期稳定的合作关系，在科技平台载体建设、重大科研项目攻关、科技成果转移转化、科技人才培养等方面取得务实合作，共同构建深度融合的创新互利合作共同体。</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加强黄河流域区域科技协作。</w:t>
      </w:r>
      <w:r>
        <w:rPr>
          <w:rFonts w:hint="eastAsia" w:asciiTheme="minorEastAsia" w:hAnsiTheme="minorEastAsia" w:cstheme="minorEastAsia"/>
          <w:sz w:val="28"/>
          <w:szCs w:val="28"/>
        </w:rPr>
        <w:t>积极融入黄河流域区域间交流协作机制，加强与沿黄重点地区产业协作与科技交流，探索建立区域科技协作新模式，鼓励支持区域间协同开展黄河流域生态保护和高质量发展高端论坛，定期会商技术攻关、成果转化、人才交流等合作，建立长期稳定协作关系。</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不断拓展国际科技合作。</w:t>
      </w:r>
      <w:r>
        <w:rPr>
          <w:rFonts w:hint="eastAsia" w:asciiTheme="minorEastAsia" w:hAnsiTheme="minorEastAsia" w:cstheme="minorEastAsia"/>
          <w:sz w:val="28"/>
          <w:szCs w:val="28"/>
        </w:rPr>
        <w:t>积极融入国家“一带一路”发展战略，加强与沿线国家科技交流，充分发挥中俄蒙经济走廊区位优势，拓展与俄罗斯、蒙古国、中亚等国家科技合作。鼓励支持具有技术优势的资源开发、新能源、现代农牧业企业开展跨境贸易和科技合作，积极联系国际科技促进组织开展双向技术合作和国际学术交流，积极举办国际高端学术研讨会。</w:t>
      </w:r>
    </w:p>
    <w:p>
      <w:pPr>
        <w:pStyle w:val="5"/>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Lines="50" w:line="520" w:lineRule="exact"/>
              <w:ind w:left="210" w:leftChars="100" w:right="210" w:rightChars="100"/>
              <w:jc w:val="center"/>
              <w:rPr>
                <w:rFonts w:ascii="幼圆" w:hAnsi="华文仿宋" w:eastAsia="幼圆" w:cs="华文仿宋"/>
                <w:b/>
                <w:sz w:val="24"/>
                <w:szCs w:val="24"/>
              </w:rPr>
            </w:pPr>
            <w:r>
              <w:rPr>
                <w:rFonts w:hint="eastAsia" w:ascii="幼圆" w:hAnsi="华文仿宋" w:eastAsia="幼圆" w:cs="华文仿宋"/>
                <w:b/>
                <w:sz w:val="24"/>
                <w:szCs w:val="24"/>
              </w:rPr>
              <w:t>专栏2</w:t>
            </w:r>
            <w:r>
              <w:rPr>
                <w:rFonts w:hint="eastAsia" w:ascii="幼圆" w:hAnsi="华文仿宋" w:eastAsia="幼圆" w:cs="华文仿宋"/>
                <w:b/>
                <w:sz w:val="24"/>
                <w:szCs w:val="24"/>
                <w:lang w:val="en-US" w:eastAsia="zh-CN"/>
              </w:rPr>
              <w:t>0</w:t>
            </w:r>
            <w:r>
              <w:rPr>
                <w:rFonts w:hint="eastAsia" w:ascii="幼圆" w:hAnsi="华文仿宋" w:eastAsia="幼圆" w:cs="华文仿宋"/>
                <w:b/>
                <w:sz w:val="24"/>
                <w:szCs w:val="24"/>
              </w:rPr>
              <w:t xml:space="preserve">  科技开放与合作重点项目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460" w:lineRule="exact"/>
              <w:ind w:left="210" w:leftChars="100" w:right="210" w:rightChars="100"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支持中外合作园区建设，引入国外先进种植及生产加工技术，示范带动全市相关产业发展，尽快形成国内国外双循环产业发展态势。不断深化“科技兴蒙”行动，加强与“4+8+N”合作主体的科技合作，继续深化与中科院、中国农科院、清华大学、上海交通大学、中国农业大学、武汉大学、江南大学、西北农林科技大学等合作，重点围绕小麦、肉羊、向日葵、农畜产品精深加工开展关键技术攻关和产业化研究，加快提升我市科技创新水平。</w:t>
            </w:r>
          </w:p>
          <w:p>
            <w:pPr>
              <w:keepNext w:val="0"/>
              <w:keepLines w:val="0"/>
              <w:pageBreakBefore w:val="0"/>
              <w:widowControl w:val="0"/>
              <w:kinsoku/>
              <w:wordWrap/>
              <w:overflowPunct/>
              <w:topLinePunct w:val="0"/>
              <w:autoSpaceDE/>
              <w:autoSpaceDN/>
              <w:bidi w:val="0"/>
              <w:adjustRightInd/>
              <w:snapToGrid/>
              <w:spacing w:line="460" w:lineRule="exact"/>
              <w:ind w:left="210" w:leftChars="100" w:right="210" w:rightChars="100"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促进耕地地力提升方面的研究成果在我市转化应用，彻底解决我市耕地土壤地力逐年下降问题。</w:t>
            </w:r>
          </w:p>
          <w:p>
            <w:pPr>
              <w:keepNext w:val="0"/>
              <w:keepLines w:val="0"/>
              <w:pageBreakBefore w:val="0"/>
              <w:widowControl w:val="0"/>
              <w:kinsoku/>
              <w:wordWrap/>
              <w:overflowPunct/>
              <w:topLinePunct w:val="0"/>
              <w:autoSpaceDE/>
              <w:autoSpaceDN/>
              <w:bidi w:val="0"/>
              <w:adjustRightInd/>
              <w:snapToGrid/>
              <w:spacing w:line="460" w:lineRule="exact"/>
              <w:ind w:left="210" w:leftChars="100" w:right="210" w:rightChars="100" w:firstLine="480" w:firstLineChars="200"/>
              <w:textAlignment w:val="auto"/>
              <w:rPr>
                <w:rFonts w:ascii="幼圆" w:hAnsi="华文仿宋" w:eastAsia="幼圆" w:cs="华文仿宋"/>
                <w:b/>
                <w:sz w:val="24"/>
                <w:szCs w:val="24"/>
              </w:rPr>
            </w:pPr>
            <w:r>
              <w:rPr>
                <w:rFonts w:hint="eastAsia" w:asciiTheme="minorEastAsia" w:hAnsiTheme="minorEastAsia" w:cstheme="minorEastAsia"/>
                <w:sz w:val="24"/>
                <w:szCs w:val="24"/>
              </w:rPr>
              <w:t>联合中国农业大学、中国农业科学院，提升黄河流域西北地区种质基因库和现代种业产业园建设水平，构建“一区多园N基地”园区发展格局，收集引进不同地区优质作物、野生近缘种、遗传分析工具材料等，完善种质资源共享与利用机制。</w:t>
            </w:r>
          </w:p>
        </w:tc>
      </w:tr>
    </w:tbl>
    <w:p>
      <w:pPr>
        <w:spacing w:line="520" w:lineRule="exact"/>
        <w:ind w:firstLine="600" w:firstLineChars="200"/>
        <w:rPr>
          <w:rFonts w:ascii="黑体" w:hAnsi="黑体" w:eastAsia="黑体" w:cs="黑体"/>
          <w:sz w:val="30"/>
          <w:szCs w:val="30"/>
        </w:rPr>
      </w:pPr>
      <w:bookmarkStart w:id="154" w:name="_Toc83541001"/>
      <w:bookmarkStart w:id="155" w:name="_Toc5377"/>
    </w:p>
    <w:p>
      <w:pPr>
        <w:spacing w:line="520" w:lineRule="exact"/>
        <w:jc w:val="center"/>
        <w:rPr>
          <w:rFonts w:ascii="黑体" w:hAnsi="黑体" w:eastAsia="黑体" w:cs="黑体"/>
          <w:sz w:val="32"/>
          <w:szCs w:val="32"/>
        </w:rPr>
      </w:pPr>
      <w:r>
        <w:rPr>
          <w:rFonts w:hint="eastAsia" w:ascii="黑体" w:hAnsi="黑体" w:eastAsia="黑体" w:cs="黑体"/>
          <w:sz w:val="32"/>
          <w:szCs w:val="32"/>
        </w:rPr>
        <w:t>第十九章  加强政策配套，营造良好环境</w:t>
      </w:r>
      <w:bookmarkEnd w:id="154"/>
      <w:bookmarkEnd w:id="155"/>
    </w:p>
    <w:p>
      <w:pPr>
        <w:spacing w:line="520" w:lineRule="exact"/>
        <w:ind w:firstLine="600" w:firstLineChars="200"/>
        <w:rPr>
          <w:rFonts w:ascii="黑体" w:hAnsi="黑体" w:eastAsia="黑体" w:cs="黑体"/>
          <w:sz w:val="30"/>
          <w:szCs w:val="30"/>
        </w:rPr>
      </w:pPr>
      <w:bookmarkStart w:id="156" w:name="_Toc3396"/>
      <w:bookmarkStart w:id="157" w:name="_Toc83541002"/>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第一节  建立科技投入稳定增长机制</w:t>
      </w:r>
      <w:bookmarkEnd w:id="156"/>
      <w:bookmarkEnd w:id="157"/>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加大政府科技投入力度。</w:t>
      </w:r>
      <w:r>
        <w:rPr>
          <w:rFonts w:hint="eastAsia" w:asciiTheme="minorEastAsia" w:hAnsiTheme="minorEastAsia" w:cstheme="minorEastAsia"/>
          <w:sz w:val="28"/>
          <w:szCs w:val="28"/>
        </w:rPr>
        <w:t>实施研发投入攻坚行动，建立健全政府科技投入稳定增长机制，逐年加大科技专项资金支持力度。提高财政科技支出占一般公共预算支出的比重。充分发挥好政府科技投入引导激励作用，改进资金配置机制，保障《规划》任务的资金需求。</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引导企业加大研发投入。</w:t>
      </w:r>
      <w:r>
        <w:rPr>
          <w:rFonts w:hint="eastAsia" w:asciiTheme="minorEastAsia" w:hAnsiTheme="minorEastAsia" w:cstheme="minorEastAsia"/>
          <w:bCs/>
          <w:sz w:val="28"/>
          <w:szCs w:val="28"/>
        </w:rPr>
        <w:t>认真贯彻落实国家、自治区支持企业加大研发投入政策措施，健全完善我市相关配套政策，引导企业加大研发投入，鼓励支持企业大力发展高新技术产业，</w:t>
      </w:r>
      <w:r>
        <w:rPr>
          <w:rFonts w:hint="eastAsia" w:asciiTheme="minorEastAsia" w:hAnsiTheme="minorEastAsia" w:cstheme="minorEastAsia"/>
          <w:sz w:val="28"/>
          <w:szCs w:val="28"/>
        </w:rPr>
        <w:t>推动规模以上工业企业、国家高新技术企业建立研发准备金制度，规范研发费用核算，充分调动企业研发投入积极性。</w:t>
      </w:r>
    </w:p>
    <w:p>
      <w:pPr>
        <w:spacing w:line="520" w:lineRule="exact"/>
        <w:ind w:firstLine="556"/>
        <w:rPr>
          <w:rFonts w:asciiTheme="minorEastAsia" w:hAnsiTheme="minorEastAsia" w:cstheme="minorEastAsia"/>
          <w:sz w:val="28"/>
          <w:szCs w:val="28"/>
        </w:rPr>
      </w:pPr>
      <w:r>
        <w:rPr>
          <w:rFonts w:hint="eastAsia" w:asciiTheme="minorEastAsia" w:hAnsiTheme="minorEastAsia" w:cstheme="minorEastAsia"/>
          <w:b/>
          <w:sz w:val="28"/>
          <w:szCs w:val="28"/>
        </w:rPr>
        <w:t>推动科技与金融深度融合。</w:t>
      </w:r>
      <w:r>
        <w:rPr>
          <w:rFonts w:hint="eastAsia" w:asciiTheme="minorEastAsia" w:hAnsiTheme="minorEastAsia" w:cstheme="minorEastAsia"/>
          <w:bCs/>
          <w:sz w:val="28"/>
          <w:szCs w:val="28"/>
        </w:rPr>
        <w:t>鼓励金融机构</w:t>
      </w:r>
      <w:r>
        <w:rPr>
          <w:rFonts w:hint="eastAsia" w:asciiTheme="minorEastAsia" w:hAnsiTheme="minorEastAsia" w:cstheme="minorEastAsia"/>
          <w:sz w:val="28"/>
          <w:szCs w:val="28"/>
        </w:rPr>
        <w:t>创新科技金融产品，支持符合条件的金融机构与创业投资机构、股权投资机构、金融担保机构合作，实现投贷联动，支持企业创新发展。</w:t>
      </w:r>
      <w:r>
        <w:rPr>
          <w:rFonts w:hint="eastAsia" w:asciiTheme="minorEastAsia" w:hAnsiTheme="minorEastAsia" w:cstheme="minorEastAsia"/>
          <w:bCs/>
          <w:sz w:val="28"/>
          <w:szCs w:val="28"/>
        </w:rPr>
        <w:t>建立健全政府推动科技与金融深度融合体制机制，设立财政支持深化民营和小微企业发展“风险补偿金”，支持引导金融机构加大对现代牧业和巴彦淖尔市肉羊产业以及国家农高区主导产业创新发展。</w:t>
      </w:r>
      <w:r>
        <w:rPr>
          <w:rFonts w:hint="eastAsia" w:asciiTheme="minorEastAsia" w:hAnsiTheme="minorEastAsia" w:cstheme="minorEastAsia"/>
          <w:sz w:val="28"/>
          <w:szCs w:val="28"/>
        </w:rPr>
        <w:t>健全科技型企业融资担保平台体系，简化评估程序，拓宽融资渠道。支持商业银行设立科技金融互联网平台，提升金融服务科技的能力。</w:t>
      </w:r>
    </w:p>
    <w:p>
      <w:pPr>
        <w:spacing w:line="520" w:lineRule="exact"/>
        <w:ind w:firstLine="600" w:firstLineChars="200"/>
        <w:rPr>
          <w:rFonts w:ascii="黑体" w:hAnsi="黑体" w:eastAsia="黑体" w:cs="黑体"/>
          <w:sz w:val="30"/>
          <w:szCs w:val="30"/>
        </w:rPr>
      </w:pPr>
      <w:bookmarkStart w:id="158" w:name="_Toc21492"/>
      <w:bookmarkStart w:id="159" w:name="_Toc62479015"/>
      <w:bookmarkStart w:id="160" w:name="_Toc83541003"/>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第二节  完善普惠性创新政策体系</w:t>
      </w:r>
      <w:bookmarkEnd w:id="158"/>
      <w:bookmarkEnd w:id="159"/>
      <w:bookmarkEnd w:id="160"/>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加大国家自治区创新政策贯彻落实。</w:t>
      </w:r>
      <w:r>
        <w:rPr>
          <w:rFonts w:hint="eastAsia" w:asciiTheme="minorEastAsia" w:hAnsiTheme="minorEastAsia" w:cstheme="minorEastAsia"/>
          <w:spacing w:val="-6"/>
          <w:sz w:val="28"/>
          <w:szCs w:val="28"/>
        </w:rPr>
        <w:t>积极宣传贯彻落实国家和自治区科技政策法规，重点加强对内蒙古自治区党委、政府《关于加快推进“科技兴蒙”行动支持科技创新若干政策措施》的贯彻落实，结合我市实际制定贯彻落实意见，确保国家、自治区创新政策落地见效。</w:t>
      </w:r>
    </w:p>
    <w:p>
      <w:pPr>
        <w:spacing w:line="520" w:lineRule="exact"/>
        <w:ind w:firstLine="556"/>
        <w:rPr>
          <w:rFonts w:asciiTheme="minorEastAsia" w:hAnsiTheme="minorEastAsia" w:cstheme="minorEastAsia"/>
          <w:sz w:val="28"/>
          <w:szCs w:val="28"/>
        </w:rPr>
      </w:pPr>
      <w:r>
        <w:rPr>
          <w:rFonts w:hint="eastAsia" w:asciiTheme="minorEastAsia" w:hAnsiTheme="minorEastAsia" w:cstheme="minorEastAsia"/>
          <w:b/>
          <w:sz w:val="28"/>
          <w:szCs w:val="28"/>
        </w:rPr>
        <w:t>对接需求缺口，完善政策配套。</w:t>
      </w:r>
      <w:r>
        <w:rPr>
          <w:rFonts w:hint="eastAsia" w:asciiTheme="minorEastAsia" w:hAnsiTheme="minorEastAsia" w:cstheme="minorEastAsia"/>
          <w:sz w:val="28"/>
          <w:szCs w:val="28"/>
        </w:rPr>
        <w:t>以国家、自治区政策为导向，以我市分层配套为补充，按照国家、自治区宏观政策要求，紧扣我市特点和需求完善政策、补齐短板、扩大覆盖。按照国家、自治区“十四五”科技创新规划和我市“十四五”规划纲要要求，研究制定全市推动科技创新的配套政策，并加大贯彻执行力度，努力营造科技创新良好环境和政策氛围。</w:t>
      </w:r>
    </w:p>
    <w:p>
      <w:pPr>
        <w:spacing w:line="520" w:lineRule="exact"/>
        <w:ind w:firstLine="600" w:firstLineChars="200"/>
        <w:rPr>
          <w:rFonts w:ascii="黑体" w:hAnsi="黑体" w:eastAsia="黑体" w:cs="黑体"/>
          <w:sz w:val="30"/>
          <w:szCs w:val="30"/>
        </w:rPr>
      </w:pPr>
      <w:bookmarkStart w:id="161" w:name="_Toc62479016"/>
      <w:bookmarkStart w:id="162" w:name="_Toc83541004"/>
      <w:bookmarkStart w:id="163" w:name="_Toc5483"/>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第三节  加强科普和创新文化建设</w:t>
      </w:r>
      <w:bookmarkEnd w:id="161"/>
      <w:bookmarkEnd w:id="162"/>
      <w:bookmarkEnd w:id="163"/>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强化科普基础设施和科普信息化建设。</w:t>
      </w:r>
      <w:r>
        <w:rPr>
          <w:rFonts w:hint="eastAsia" w:asciiTheme="minorEastAsia" w:hAnsiTheme="minorEastAsia" w:cstheme="minorEastAsia"/>
          <w:sz w:val="28"/>
          <w:szCs w:val="28"/>
        </w:rPr>
        <w:t>逐步增加财政科普经费投入，鼓励社会力量投资科普事业。优化全市科普示范基地布局，提升实体科技馆服务能力，均衡发展科普公共服务，因地制宜建设一批具备教育、培训、展示等多功能的开放性、群众性科普活动场所。整合全市科技条件资源，促进各类科普基地、设施、产品等面向社会开放。</w:t>
      </w:r>
    </w:p>
    <w:p>
      <w:pPr>
        <w:spacing w:line="520" w:lineRule="exact"/>
        <w:ind w:firstLine="556"/>
        <w:rPr>
          <w:rFonts w:asciiTheme="minorEastAsia" w:hAnsiTheme="minorEastAsia" w:cstheme="minorEastAsia"/>
          <w:sz w:val="28"/>
          <w:szCs w:val="28"/>
        </w:rPr>
      </w:pPr>
      <w:r>
        <w:rPr>
          <w:rFonts w:hint="eastAsia" w:asciiTheme="minorEastAsia" w:hAnsiTheme="minorEastAsia" w:cstheme="minorEastAsia"/>
          <w:b/>
          <w:sz w:val="28"/>
          <w:szCs w:val="28"/>
        </w:rPr>
        <w:t>营造激励创新的社会文化氛围。</w:t>
      </w:r>
      <w:r>
        <w:rPr>
          <w:rFonts w:hint="eastAsia" w:asciiTheme="minorEastAsia" w:hAnsiTheme="minorEastAsia" w:cstheme="minorEastAsia"/>
          <w:sz w:val="28"/>
          <w:szCs w:val="28"/>
        </w:rPr>
        <w:t>积极倡导敢为人先、勇于冒尖、宽容失败的创新文化，树立崇尚创新、尊重创造、支持创业致富的价值导向，形成尊重人才、鼓励创造的科学文化氛围。大力弘扬科学家精神，鼓励学术争鸣，激发批判思维，提倡富有生气、不受约束、敢于发明和创造的学术自由。加强科技界与公众的沟通交流，在科技规划、重大科技部署活动中扩大公众参与度，拓展有序参与渠道。</w:t>
      </w:r>
    </w:p>
    <w:p>
      <w:pPr>
        <w:pStyle w:val="4"/>
        <w:spacing w:after="156" w:line="400" w:lineRule="exact"/>
        <w:ind w:firstLine="0" w:firstLineChars="0"/>
        <w:jc w:val="both"/>
        <w:rPr>
          <w:rFonts w:ascii="黑体" w:hAnsi="黑体" w:eastAsia="黑体" w:cs="黑体"/>
          <w:b w:val="0"/>
          <w:bCs w:val="0"/>
          <w:sz w:val="32"/>
        </w:rPr>
      </w:pPr>
      <w:bookmarkStart w:id="164" w:name="_Toc62479017"/>
      <w:bookmarkStart w:id="165" w:name="_Toc83541005"/>
      <w:bookmarkStart w:id="166" w:name="_Toc25761"/>
    </w:p>
    <w:p>
      <w:pPr>
        <w:spacing w:line="520" w:lineRule="exact"/>
        <w:jc w:val="center"/>
        <w:rPr>
          <w:rFonts w:ascii="黑体" w:hAnsi="黑体" w:eastAsia="黑体" w:cs="黑体"/>
          <w:sz w:val="36"/>
          <w:szCs w:val="36"/>
        </w:rPr>
      </w:pPr>
      <w:r>
        <w:rPr>
          <w:rFonts w:hint="eastAsia" w:ascii="黑体" w:hAnsi="黑体" w:eastAsia="黑体" w:cs="黑体"/>
          <w:sz w:val="36"/>
          <w:szCs w:val="36"/>
        </w:rPr>
        <w:t>第九篇  抓好规划组织实施和监测评估</w:t>
      </w:r>
      <w:bookmarkEnd w:id="164"/>
      <w:bookmarkEnd w:id="165"/>
      <w:bookmarkEnd w:id="166"/>
    </w:p>
    <w:p>
      <w:pPr>
        <w:spacing w:line="520" w:lineRule="exact"/>
        <w:rPr>
          <w:rFonts w:ascii="黑体" w:hAnsi="黑体" w:eastAsia="黑体" w:cs="黑体"/>
          <w:sz w:val="30"/>
          <w:szCs w:val="30"/>
        </w:rPr>
      </w:pPr>
    </w:p>
    <w:p>
      <w:pPr>
        <w:spacing w:line="520" w:lineRule="exact"/>
        <w:ind w:firstLine="556"/>
        <w:rPr>
          <w:rFonts w:asciiTheme="minorEastAsia" w:hAnsiTheme="minorEastAsia" w:cstheme="minorEastAsia"/>
          <w:sz w:val="28"/>
          <w:szCs w:val="28"/>
        </w:rPr>
      </w:pPr>
      <w:r>
        <w:rPr>
          <w:rFonts w:hint="eastAsia" w:asciiTheme="minorEastAsia" w:hAnsiTheme="minorEastAsia" w:cstheme="minorEastAsia"/>
          <w:sz w:val="28"/>
          <w:szCs w:val="28"/>
        </w:rPr>
        <w:t>《巴彦淖尔市“十四五”科技创新规划》是未来五年我市科技创新发展的总体遵循。如期完成《规划》目标任务，是全市各级党政部门和干部职工以及广大科技工作者的使命担当，也是全社会参与支持创新创造的目标和方向。</w:t>
      </w:r>
    </w:p>
    <w:p>
      <w:pPr>
        <w:spacing w:line="520" w:lineRule="exact"/>
        <w:ind w:firstLine="600" w:firstLineChars="200"/>
        <w:rPr>
          <w:rFonts w:ascii="黑体" w:hAnsi="黑体" w:eastAsia="黑体" w:cs="黑体"/>
          <w:sz w:val="30"/>
          <w:szCs w:val="30"/>
        </w:rPr>
      </w:pPr>
      <w:bookmarkStart w:id="167" w:name="_Toc62479018"/>
      <w:bookmarkStart w:id="168" w:name="_Toc83541006"/>
      <w:bookmarkStart w:id="169" w:name="_Toc32671"/>
    </w:p>
    <w:p>
      <w:pPr>
        <w:spacing w:line="520" w:lineRule="exact"/>
        <w:jc w:val="center"/>
        <w:rPr>
          <w:rFonts w:ascii="黑体" w:hAnsi="黑体" w:eastAsia="黑体" w:cs="黑体"/>
          <w:sz w:val="30"/>
          <w:szCs w:val="30"/>
        </w:rPr>
      </w:pPr>
      <w:r>
        <w:rPr>
          <w:rFonts w:hint="eastAsia" w:ascii="黑体" w:hAnsi="黑体" w:eastAsia="黑体" w:cs="黑体"/>
          <w:sz w:val="30"/>
          <w:szCs w:val="30"/>
        </w:rPr>
        <w:t>第二十章  加强组织领导 保障规划实施</w:t>
      </w:r>
      <w:bookmarkEnd w:id="167"/>
      <w:bookmarkEnd w:id="168"/>
      <w:bookmarkEnd w:id="169"/>
    </w:p>
    <w:p>
      <w:pPr>
        <w:spacing w:line="520" w:lineRule="exact"/>
        <w:ind w:firstLine="600" w:firstLineChars="200"/>
        <w:rPr>
          <w:rFonts w:ascii="黑体" w:hAnsi="黑体" w:eastAsia="黑体" w:cs="黑体"/>
          <w:sz w:val="30"/>
          <w:szCs w:val="30"/>
        </w:rPr>
      </w:pP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加强《规划》实施的组织领导。</w:t>
      </w:r>
      <w:r>
        <w:rPr>
          <w:rFonts w:hint="eastAsia" w:asciiTheme="minorEastAsia" w:hAnsiTheme="minorEastAsia" w:cstheme="minorEastAsia"/>
          <w:sz w:val="28"/>
          <w:szCs w:val="28"/>
        </w:rPr>
        <w:t>坚决贯彻落实习近平总书记关于推进“十四五”时期经济社会发展“五个必须”要求，将党的领导贯穿到科技创新各领域和《规划》编制实施全过程。各级党委、政府要充分发挥总揽全局、协调各方的核心作用，增强科技创新的责任感和紧迫感，牢固树立创新发展理念，把《规划》的实施作为党政一把手的重大举措，认真抓好《规划》的组织实施。</w:t>
      </w:r>
    </w:p>
    <w:p>
      <w:pPr>
        <w:spacing w:line="52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建立《规划》实施协调机制。</w:t>
      </w:r>
      <w:r>
        <w:rPr>
          <w:rFonts w:hint="eastAsia" w:asciiTheme="minorEastAsia" w:hAnsiTheme="minorEastAsia" w:cstheme="minorEastAsia"/>
          <w:sz w:val="28"/>
          <w:szCs w:val="28"/>
        </w:rPr>
        <w:t>强化《规划》实施协调管理，建立由科技主管部门牵头，各级各部门协调配合、共同推进落实的《规划》实施机制。各旗县区、各部门和各级各类科技园区要做好与本规划战略目标相衔接，重大任务的分解要对接有序，约束性指标要上下一致。部署年度计划和重点任务要保持与《规划》衔接配套。</w:t>
      </w:r>
    </w:p>
    <w:p>
      <w:pPr>
        <w:spacing w:line="520" w:lineRule="exact"/>
        <w:ind w:firstLine="562" w:firstLineChars="200"/>
      </w:pPr>
      <w:r>
        <w:rPr>
          <w:rFonts w:hint="eastAsia" w:asciiTheme="minorEastAsia" w:hAnsiTheme="minorEastAsia" w:cstheme="minorEastAsia"/>
          <w:b/>
          <w:sz w:val="28"/>
          <w:szCs w:val="28"/>
        </w:rPr>
        <w:t>开展《规划》监测评估。</w:t>
      </w:r>
      <w:r>
        <w:rPr>
          <w:rFonts w:hint="eastAsia" w:asciiTheme="minorEastAsia" w:hAnsiTheme="minorEastAsia" w:cstheme="minorEastAsia"/>
          <w:sz w:val="28"/>
          <w:szCs w:val="28"/>
        </w:rPr>
        <w:t>建立《规划》实施监测评估机制，对各项目标的实施进度、重大任务完成情况、政策落实情况进行动态监测、中期评估和终期总结，结合具体情况对《规划》作出必要调整。</w:t>
      </w:r>
    </w:p>
    <w:sectPr>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2"/>
      </w:rPr>
      <w:id w:val="22139603"/>
    </w:sdtPr>
    <w:sdtEndPr>
      <w:rPr>
        <w:sz w:val="21"/>
        <w:szCs w:val="22"/>
      </w:rPr>
    </w:sdtEndPr>
    <w:sdtContent>
      <w:p>
        <w:pPr>
          <w:pStyle w:val="8"/>
          <w:jc w:val="center"/>
        </w:pPr>
        <w:r>
          <w:rPr>
            <w:rFonts w:hint="eastAsia"/>
          </w:rPr>
          <w:t>—</w:t>
        </w:r>
        <w:r>
          <w:fldChar w:fldCharType="begin"/>
        </w:r>
        <w:r>
          <w:instrText xml:space="preserve"> PAGE   \* MERGEFORMAT </w:instrText>
        </w:r>
        <w:r>
          <w:fldChar w:fldCharType="separate"/>
        </w:r>
        <w:r>
          <w:rPr>
            <w:lang w:val="zh-CN"/>
          </w:rPr>
          <w:t>23</w:t>
        </w:r>
        <w:r>
          <w:rPr>
            <w:lang w:val="zh-CN"/>
          </w:rPr>
          <w:fldChar w:fldCharType="end"/>
        </w:r>
        <w:r>
          <w:rPr>
            <w:rFonts w:hint="eastAsia"/>
          </w:rPr>
          <w:t>—</w:t>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ZWE2MDE5MGViYWU5MWZlY2I1YWVlYmRiOTUwZmQifQ=="/>
  </w:docVars>
  <w:rsids>
    <w:rsidRoot w:val="3D896BB2"/>
    <w:rsid w:val="001C521B"/>
    <w:rsid w:val="001E5170"/>
    <w:rsid w:val="00272F05"/>
    <w:rsid w:val="0029533F"/>
    <w:rsid w:val="003D6572"/>
    <w:rsid w:val="003E7F80"/>
    <w:rsid w:val="008D675E"/>
    <w:rsid w:val="00B01D50"/>
    <w:rsid w:val="00C278FA"/>
    <w:rsid w:val="00D54DE1"/>
    <w:rsid w:val="00F13028"/>
    <w:rsid w:val="00FB1110"/>
    <w:rsid w:val="02647050"/>
    <w:rsid w:val="042E07AD"/>
    <w:rsid w:val="09F5019B"/>
    <w:rsid w:val="0D1462B0"/>
    <w:rsid w:val="0D9D81CC"/>
    <w:rsid w:val="0DC11165"/>
    <w:rsid w:val="0DCB5F30"/>
    <w:rsid w:val="13653AA2"/>
    <w:rsid w:val="1D2E600F"/>
    <w:rsid w:val="22A55C69"/>
    <w:rsid w:val="293F655C"/>
    <w:rsid w:val="294F7644"/>
    <w:rsid w:val="33C323F3"/>
    <w:rsid w:val="340D26DB"/>
    <w:rsid w:val="349B3370"/>
    <w:rsid w:val="37FF180D"/>
    <w:rsid w:val="3D896BB2"/>
    <w:rsid w:val="444529B0"/>
    <w:rsid w:val="44B33DBE"/>
    <w:rsid w:val="479357EC"/>
    <w:rsid w:val="4B8A64BF"/>
    <w:rsid w:val="4C5C2F8D"/>
    <w:rsid w:val="51D610EC"/>
    <w:rsid w:val="523D6866"/>
    <w:rsid w:val="5E3EDACA"/>
    <w:rsid w:val="60E76E71"/>
    <w:rsid w:val="6BEF3F53"/>
    <w:rsid w:val="74BD3F55"/>
    <w:rsid w:val="77BFD09F"/>
    <w:rsid w:val="79DF1F30"/>
    <w:rsid w:val="7B6F0820"/>
    <w:rsid w:val="7BCF68B0"/>
    <w:rsid w:val="7CFD6638"/>
    <w:rsid w:val="7D7FD2B9"/>
    <w:rsid w:val="7DCD6D3A"/>
    <w:rsid w:val="7EFF88A0"/>
    <w:rsid w:val="7F7C56ED"/>
    <w:rsid w:val="7FBFAEDF"/>
    <w:rsid w:val="7FFB38BD"/>
    <w:rsid w:val="7FFD8825"/>
    <w:rsid w:val="82FBDE98"/>
    <w:rsid w:val="A7FFDFA4"/>
    <w:rsid w:val="AB7DA676"/>
    <w:rsid w:val="AEF7D952"/>
    <w:rsid w:val="B5CBFC5B"/>
    <w:rsid w:val="B91FDEC4"/>
    <w:rsid w:val="BF77E6E5"/>
    <w:rsid w:val="DB7FD21B"/>
    <w:rsid w:val="DFFCD57D"/>
    <w:rsid w:val="E7F5641D"/>
    <w:rsid w:val="E9A4730D"/>
    <w:rsid w:val="F73F05AB"/>
    <w:rsid w:val="FA7D20E0"/>
    <w:rsid w:val="FB6289FD"/>
    <w:rsid w:val="FB7E4F18"/>
    <w:rsid w:val="FBAF21D7"/>
    <w:rsid w:val="FD7FA9BE"/>
    <w:rsid w:val="FDD5F4AF"/>
    <w:rsid w:val="FE7E05A8"/>
    <w:rsid w:val="FEF7D883"/>
    <w:rsid w:val="FF6D3B3D"/>
    <w:rsid w:val="FFBFDAA5"/>
    <w:rsid w:val="FFEF8D4A"/>
    <w:rsid w:val="FFFE3E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0"/>
    <w:pPr>
      <w:keepNext/>
      <w:keepLines/>
      <w:widowControl w:val="0"/>
      <w:spacing w:beforeLines="50" w:afterLines="50"/>
      <w:ind w:firstLine="200" w:firstLineChars="200"/>
      <w:outlineLvl w:val="0"/>
    </w:pPr>
    <w:rPr>
      <w:rFonts w:eastAsia="黑体" w:asciiTheme="minorHAnsi" w:hAnsiTheme="minorHAnsi" w:cstheme="minorBidi"/>
      <w:bCs/>
      <w:kern w:val="44"/>
      <w:sz w:val="28"/>
      <w:szCs w:val="44"/>
      <w:lang w:val="en-US" w:eastAsia="zh-CN" w:bidi="ar-SA"/>
    </w:rPr>
  </w:style>
  <w:style w:type="paragraph" w:styleId="4">
    <w:name w:val="heading 2"/>
    <w:next w:val="1"/>
    <w:unhideWhenUsed/>
    <w:qFormat/>
    <w:uiPriority w:val="0"/>
    <w:pPr>
      <w:keepNext/>
      <w:keepLines/>
      <w:widowControl w:val="0"/>
      <w:spacing w:before="120" w:afterLines="50"/>
      <w:ind w:firstLine="200" w:firstLineChars="200"/>
      <w:outlineLvl w:val="1"/>
    </w:pPr>
    <w:rPr>
      <w:rFonts w:asciiTheme="majorHAnsi" w:hAnsiTheme="majorHAnsi" w:eastAsiaTheme="majorEastAsia" w:cstheme="majorBidi"/>
      <w:b/>
      <w:bCs/>
      <w:kern w:val="2"/>
      <w:sz w:val="28"/>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widowControl w:val="0"/>
      <w:jc w:val="both"/>
    </w:pPr>
    <w:rPr>
      <w:rFonts w:eastAsia="黑体" w:asciiTheme="minorHAnsi" w:hAnsiTheme="minorHAnsi" w:cstheme="minorBidi"/>
      <w:kern w:val="2"/>
      <w:sz w:val="24"/>
      <w:szCs w:val="22"/>
      <w:lang w:val="en-US" w:eastAsia="zh-CN" w:bidi="ar-SA"/>
    </w:rPr>
  </w:style>
  <w:style w:type="paragraph" w:styleId="5">
    <w:name w:val="Body Text"/>
    <w:basedOn w:val="1"/>
    <w:unhideWhenUsed/>
    <w:qFormat/>
    <w:uiPriority w:val="99"/>
    <w:pPr>
      <w:widowControl w:val="0"/>
      <w:jc w:val="both"/>
    </w:pPr>
    <w:rPr>
      <w:rFonts w:ascii="Times New Roman" w:hAnsi="Times New Roman" w:eastAsiaTheme="minorEastAsia" w:cstheme="minorBidi"/>
      <w:kern w:val="2"/>
      <w:sz w:val="21"/>
      <w:szCs w:val="22"/>
      <w:lang w:val="en-US" w:eastAsia="zh-CN" w:bidi="ar-SA"/>
    </w:rPr>
  </w:style>
  <w:style w:type="paragraph" w:styleId="6">
    <w:name w:val="toc 3"/>
    <w:next w:val="1"/>
    <w:qFormat/>
    <w:uiPriority w:val="0"/>
    <w:pPr>
      <w:widowControl w:val="0"/>
      <w:ind w:left="840" w:leftChars="400"/>
      <w:jc w:val="both"/>
    </w:pPr>
    <w:rPr>
      <w:rFonts w:asciiTheme="minorHAnsi" w:hAnsiTheme="minorHAnsi" w:eastAsiaTheme="minorEastAsia" w:cstheme="minorBidi"/>
      <w:kern w:val="2"/>
      <w:sz w:val="21"/>
      <w:szCs w:val="22"/>
      <w:lang w:val="en-US" w:eastAsia="zh-CN" w:bidi="ar-SA"/>
    </w:rPr>
  </w:style>
  <w:style w:type="paragraph" w:styleId="7">
    <w:name w:val="Balloon Text"/>
    <w:basedOn w:val="1"/>
    <w:link w:val="17"/>
    <w:qFormat/>
    <w:uiPriority w:val="0"/>
    <w:rPr>
      <w:sz w:val="18"/>
      <w:szCs w:val="18"/>
    </w:rPr>
  </w:style>
  <w:style w:type="paragraph" w:styleId="8">
    <w:name w:val="footer"/>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toc 2"/>
    <w:next w:val="1"/>
    <w:qFormat/>
    <w:uiPriority w:val="0"/>
    <w:pPr>
      <w:widowControl w:val="0"/>
      <w:ind w:left="420" w:leftChars="200"/>
      <w:jc w:val="both"/>
    </w:pPr>
    <w:rPr>
      <w:rFonts w:asciiTheme="minorHAnsi" w:hAnsiTheme="minorHAnsi" w:eastAsiaTheme="minorEastAsia" w:cstheme="minorBidi"/>
      <w:b/>
      <w:kern w:val="2"/>
      <w:sz w:val="21"/>
      <w:szCs w:val="22"/>
      <w:lang w:val="en-US" w:eastAsia="zh-CN" w:bidi="ar-SA"/>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9"/>
    <w:qFormat/>
    <w:uiPriority w:val="0"/>
    <w:rPr>
      <w:kern w:val="2"/>
      <w:sz w:val="18"/>
      <w:szCs w:val="18"/>
    </w:rPr>
  </w:style>
  <w:style w:type="character" w:customStyle="1" w:styleId="17">
    <w:name w:val="批注框文本 Char"/>
    <w:basedOn w:val="15"/>
    <w:link w:val="7"/>
    <w:qFormat/>
    <w:uiPriority w:val="0"/>
    <w:rPr>
      <w:kern w:val="2"/>
      <w:sz w:val="18"/>
      <w:szCs w:val="18"/>
    </w:rPr>
  </w:style>
  <w:style w:type="character" w:customStyle="1" w:styleId="18">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44169</Words>
  <Characters>44512</Characters>
  <Lines>369</Lines>
  <Paragraphs>103</Paragraphs>
  <TotalTime>13</TotalTime>
  <ScaleCrop>false</ScaleCrop>
  <LinksUpToDate>false</LinksUpToDate>
  <CharactersWithSpaces>45307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2022-06-17T18:22:00Z</dcterms:created>
  <dc:creator>耷拉眼河童</dc:creator>
  <cp:lastModifiedBy>greatwall</cp:lastModifiedBy>
  <cp:lastPrinted>2022-06-24T14:04:00Z</cp:lastPrinted>
  <dcterms:modified xsi:type="dcterms:W3CDTF">2022-11-09T16:50:16Z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865DE812D0D24FFAAB60A554B612536D</vt:lpwstr>
  </property>
</Properties>
</file>